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0820F" w14:textId="1C450CDD" w:rsidR="000C234E" w:rsidRDefault="005245B9">
      <w:pPr>
        <w:shd w:val="clear" w:color="auto" w:fill="E36C09"/>
        <w:jc w:val="center"/>
        <w:rPr>
          <w:b/>
          <w:bCs/>
          <w:color w:val="FFFFFF"/>
          <w:sz w:val="40"/>
          <w:szCs w:val="40"/>
        </w:rPr>
      </w:pPr>
      <w:r>
        <w:rPr>
          <w:b/>
          <w:bCs/>
          <w:noProof/>
          <w:color w:val="D9D9D9"/>
          <w:sz w:val="40"/>
          <w:szCs w:val="40"/>
        </w:rPr>
        <mc:AlternateContent>
          <mc:Choice Requires="wps">
            <w:drawing>
              <wp:anchor distT="0" distB="0" distL="114300" distR="114300" simplePos="0" relativeHeight="251660288" behindDoc="0" locked="0" layoutInCell="1" allowOverlap="1" wp14:anchorId="200B2A51" wp14:editId="44742AD0">
                <wp:simplePos x="0" y="0"/>
                <wp:positionH relativeFrom="column">
                  <wp:posOffset>5234940</wp:posOffset>
                </wp:positionH>
                <wp:positionV relativeFrom="paragraph">
                  <wp:posOffset>-604520</wp:posOffset>
                </wp:positionV>
                <wp:extent cx="1527175" cy="502920"/>
                <wp:effectExtent l="0" t="0" r="0" b="0"/>
                <wp:wrapNone/>
                <wp:docPr id="725854375" name="Text Box 4"/>
                <wp:cNvGraphicFramePr/>
                <a:graphic xmlns:a="http://schemas.openxmlformats.org/drawingml/2006/main">
                  <a:graphicData uri="http://schemas.microsoft.com/office/word/2010/wordprocessingShape">
                    <wps:wsp>
                      <wps:cNvSpPr txBox="1"/>
                      <wps:spPr>
                        <a:xfrm>
                          <a:off x="0" y="0"/>
                          <a:ext cx="1527175" cy="502920"/>
                        </a:xfrm>
                        <a:prstGeom prst="rect">
                          <a:avLst/>
                        </a:prstGeom>
                        <a:solidFill>
                          <a:schemeClr val="lt1"/>
                        </a:solidFill>
                        <a:ln w="6350">
                          <a:noFill/>
                        </a:ln>
                      </wps:spPr>
                      <wps:txbx>
                        <w:txbxContent>
                          <w:p w14:paraId="623A6B02" w14:textId="4D64688F" w:rsidR="005245B9" w:rsidRDefault="005245B9">
                            <w:r>
                              <w:rPr>
                                <w:noProof/>
                              </w:rPr>
                              <w:drawing>
                                <wp:inline distT="0" distB="0" distL="0" distR="0" wp14:anchorId="200C0620" wp14:editId="0853BABE">
                                  <wp:extent cx="1154430" cy="405130"/>
                                  <wp:effectExtent l="0" t="0" r="7620" b="0"/>
                                  <wp:docPr id="2078237629" name="image2.png" descr="A green and grey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078237629" name="image2.png" descr="A green and grey text on a black background&#10;&#10;Description automatically generated"/>
                                          <pic:cNvPicPr/>
                                        </pic:nvPicPr>
                                        <pic:blipFill>
                                          <a:blip r:embed="rId8"/>
                                          <a:srcRect/>
                                          <a:stretch>
                                            <a:fillRect/>
                                          </a:stretch>
                                        </pic:blipFill>
                                        <pic:spPr>
                                          <a:xfrm>
                                            <a:off x="0" y="0"/>
                                            <a:ext cx="1154430" cy="405130"/>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0B2A51" id="_x0000_t202" coordsize="21600,21600" o:spt="202" path="m,l,21600r21600,l21600,xe">
                <v:stroke joinstyle="miter"/>
                <v:path gradientshapeok="t" o:connecttype="rect"/>
              </v:shapetype>
              <v:shape id="Text Box 4" o:spid="_x0000_s1026" type="#_x0000_t202" style="position:absolute;left:0;text-align:left;margin-left:412.2pt;margin-top:-47.6pt;width:120.25pt;height:39.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" fillcolor="white [3201]" stroked="f" strokeweight=".5pt">
                <v:textbox>
                  <w:txbxContent>
                    <w:p w14:paraId="623A6B02" w14:textId="4D64688F" w:rsidR="005245B9" w:rsidRDefault="005245B9">
                      <w:r>
                        <w:rPr>
                          <w:noProof/>
                        </w:rPr>
                        <w:drawing>
                          <wp:inline distT="0" distB="0" distL="0" distR="0" wp14:anchorId="200C0620" wp14:editId="0853BABE">
                            <wp:extent cx="1154430" cy="405130"/>
                            <wp:effectExtent l="0" t="0" r="7620" b="0"/>
                            <wp:docPr id="2078237629" name="image2.png" descr="A green and grey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078237629" name="image2.png" descr="A green and grey text on a black background&#10;&#10;Description automatically generated"/>
                                    <pic:cNvPicPr/>
                                  </pic:nvPicPr>
                                  <pic:blipFill>
                                    <a:blip r:embed="rId8"/>
                                    <a:srcRect/>
                                    <a:stretch>
                                      <a:fillRect/>
                                    </a:stretch>
                                  </pic:blipFill>
                                  <pic:spPr>
                                    <a:xfrm>
                                      <a:off x="0" y="0"/>
                                      <a:ext cx="1154430" cy="405130"/>
                                    </a:xfrm>
                                    <a:prstGeom prst="rect">
                                      <a:avLst/>
                                    </a:prstGeom>
                                    <a:ln/>
                                  </pic:spPr>
                                </pic:pic>
                              </a:graphicData>
                            </a:graphic>
                          </wp:inline>
                        </w:drawing>
                      </w:r>
                    </w:p>
                  </w:txbxContent>
                </v:textbox>
              </v:shape>
            </w:pict>
          </mc:Fallback>
        </mc:AlternateContent>
      </w:r>
      <w:r>
        <w:rPr>
          <w:b/>
          <w:bCs/>
          <w:color w:val="D9D9D9"/>
          <w:sz w:val="40"/>
          <w:szCs w:val="40"/>
        </w:rPr>
        <w:t>[</w:t>
      </w:r>
      <w:r>
        <w:rPr>
          <w:b/>
          <w:bCs/>
          <w:i/>
          <w:iCs/>
          <w:color w:val="D9D9D9"/>
          <w:sz w:val="40"/>
          <w:szCs w:val="40"/>
        </w:rPr>
        <w:t>Template</w:t>
      </w:r>
      <w:r>
        <w:rPr>
          <w:b/>
          <w:bCs/>
          <w:color w:val="D9D9D9"/>
          <w:sz w:val="40"/>
          <w:szCs w:val="40"/>
        </w:rPr>
        <w:t>]</w:t>
      </w:r>
      <w:r>
        <w:rPr>
          <w:b/>
          <w:bCs/>
          <w:color w:val="D9D9D9"/>
          <w:sz w:val="40"/>
          <w:szCs w:val="40"/>
          <w:vertAlign w:val="superscript"/>
        </w:rPr>
        <w:footnoteReference w:id="1"/>
      </w:r>
      <w:r>
        <w:rPr>
          <w:b/>
          <w:bCs/>
          <w:color w:val="D9D9D9"/>
          <w:sz w:val="40"/>
          <w:szCs w:val="40"/>
        </w:rPr>
        <w:t xml:space="preserve"> </w:t>
      </w:r>
      <w:r>
        <w:rPr>
          <w:b/>
          <w:bCs/>
          <w:color w:val="FFFFFF"/>
          <w:sz w:val="40"/>
          <w:szCs w:val="40"/>
        </w:rPr>
        <w:t>Joint Statement on Infant and Young Child Feeding in the Context of Ebola Bundibugyo Virus Disease (BVD)</w:t>
      </w:r>
      <w:r>
        <w:rPr>
          <w:b/>
          <w:bCs/>
          <w:color w:val="FFFFFF"/>
          <w:sz w:val="40"/>
          <w:szCs w:val="40"/>
          <w:vertAlign w:val="superscript"/>
        </w:rPr>
        <w:footnoteReference w:id="2"/>
      </w:r>
    </w:p>
    <w:p w14:paraId="1F3A4C8C" w14:textId="77777777" w:rsidR="000C234E" w:rsidRDefault="00000000">
      <w:pPr>
        <w:jc w:val="center"/>
        <w:rPr>
          <w:i/>
          <w:iCs/>
          <w:color w:val="A6A6A6"/>
        </w:rPr>
      </w:pPr>
      <w:r>
        <w:rPr>
          <w:i/>
          <w:iCs/>
          <w:color w:val="A6A6A6"/>
        </w:rPr>
        <w:t xml:space="preserve">[Date: </w:t>
      </w:r>
      <w:proofErr w:type="gramStart"/>
      <w:r>
        <w:rPr>
          <w:i/>
          <w:iCs/>
          <w:color w:val="A6A6A6"/>
        </w:rPr>
        <w:t>Countries</w:t>
      </w:r>
      <w:proofErr w:type="gramEnd"/>
      <w:r>
        <w:rPr>
          <w:i/>
          <w:iCs/>
          <w:color w:val="A6A6A6"/>
        </w:rPr>
        <w:t xml:space="preserve"> please include date]</w:t>
      </w:r>
    </w:p>
    <w:p w14:paraId="1A975B32" w14:textId="77777777" w:rsidR="000C234E" w:rsidRDefault="00000000">
      <w:pPr>
        <w:tabs>
          <w:tab w:val="left" w:pos="2694"/>
        </w:tabs>
        <w:spacing w:line="240" w:lineRule="auto"/>
        <w:ind w:right="-64"/>
        <w:jc w:val="both"/>
        <w:rPr>
          <w:i/>
          <w:iCs/>
          <w:color w:val="000000"/>
        </w:rPr>
      </w:pPr>
      <w:r>
        <w:rPr>
          <w:b/>
          <w:bCs/>
          <w:i/>
          <w:iCs/>
          <w:color w:val="000000"/>
        </w:rPr>
        <w:t xml:space="preserve">Global Nutrition Cluster Partners </w:t>
      </w:r>
      <w:r>
        <w:rPr>
          <w:b/>
          <w:bCs/>
          <w:i/>
          <w:iCs/>
          <w:color w:val="A6A6A6"/>
        </w:rPr>
        <w:t>[National clusters please include others in the local context such as WHO, UNICEF, etc]</w:t>
      </w:r>
      <w:r>
        <w:rPr>
          <w:b/>
          <w:bCs/>
          <w:i/>
          <w:iCs/>
          <w:color w:val="000000"/>
        </w:rPr>
        <w:t xml:space="preserve"> and the Infant Feeding in Emergencies Core Group </w:t>
      </w:r>
      <w:r>
        <w:rPr>
          <w:color w:val="000000"/>
        </w:rPr>
        <w:t>call for</w:t>
      </w:r>
      <w:r>
        <w:rPr>
          <w:b/>
          <w:bCs/>
          <w:color w:val="000000"/>
        </w:rPr>
        <w:t xml:space="preserve"> ALL humanitarian actors involved in the Ebola Bundibugyo Virus Disease (BVD), response to </w:t>
      </w:r>
      <w:r>
        <w:rPr>
          <w:b/>
          <w:bCs/>
        </w:rPr>
        <w:t>provide timely, coordinated support for the feeding, care, and protection of infants, young children and their caregivers</w:t>
      </w:r>
      <w:r>
        <w:rPr>
          <w:b/>
          <w:bCs/>
          <w:color w:val="000000"/>
        </w:rPr>
        <w:t>.</w:t>
      </w:r>
      <w:r>
        <w:rPr>
          <w:color w:val="000000"/>
        </w:rPr>
        <w:t xml:space="preserve"> This is critical to support child survival and development and to prevent malnutrition, illness, and death. </w:t>
      </w:r>
    </w:p>
    <w:p w14:paraId="3B9259D1" w14:textId="77777777" w:rsidR="000C234E" w:rsidRDefault="000C234E">
      <w:pPr>
        <w:tabs>
          <w:tab w:val="left" w:pos="2694"/>
        </w:tabs>
        <w:spacing w:line="240" w:lineRule="auto"/>
        <w:ind w:right="-64"/>
        <w:jc w:val="both"/>
        <w:rPr>
          <w:i/>
          <w:iCs/>
        </w:rPr>
      </w:pPr>
    </w:p>
    <w:p w14:paraId="788C79CB" w14:textId="77777777" w:rsidR="000C234E" w:rsidRDefault="00000000">
      <w:pPr>
        <w:tabs>
          <w:tab w:val="left" w:pos="2694"/>
        </w:tabs>
        <w:spacing w:line="240" w:lineRule="auto"/>
        <w:ind w:right="-64"/>
        <w:jc w:val="both"/>
        <w:rPr>
          <w:b/>
          <w:bCs/>
          <w:i/>
          <w:iCs/>
        </w:rPr>
      </w:pPr>
      <w:r>
        <w:rPr>
          <w:color w:val="000000"/>
        </w:rPr>
        <w:t xml:space="preserve">This joint statement </w:t>
      </w:r>
      <w:r>
        <w:t>calls for</w:t>
      </w:r>
      <w:r>
        <w:rPr>
          <w:color w:val="000000"/>
        </w:rPr>
        <w:t xml:space="preserve"> immediate, coordinated, multi-sectoral action on infant and young child feeding (IYCF) in line with IYCF guidance in the context of the BVD response. </w:t>
      </w:r>
      <w:r>
        <w:rPr>
          <w:b/>
          <w:bCs/>
        </w:rPr>
        <w:t>It</w:t>
      </w:r>
      <w:r>
        <w:rPr>
          <w:b/>
          <w:bCs/>
          <w:color w:val="000000"/>
        </w:rPr>
        <w:t xml:space="preserve"> </w:t>
      </w:r>
      <w:r>
        <w:rPr>
          <w:b/>
          <w:bCs/>
        </w:rPr>
        <w:t>is based on currently available evidence and will be updated as new evidence emerges</w:t>
      </w:r>
      <w:r>
        <w:rPr>
          <w:b/>
          <w:bCs/>
          <w:i/>
          <w:iCs/>
        </w:rPr>
        <w:t>.</w:t>
      </w:r>
    </w:p>
    <w:p w14:paraId="40295CE7" w14:textId="77777777" w:rsidR="000C234E" w:rsidRDefault="000C234E">
      <w:pPr>
        <w:tabs>
          <w:tab w:val="left" w:pos="2694"/>
        </w:tabs>
        <w:spacing w:line="240" w:lineRule="auto"/>
        <w:ind w:right="-64"/>
        <w:jc w:val="both"/>
      </w:pPr>
    </w:p>
    <w:p w14:paraId="0DDDE303" w14:textId="77777777" w:rsidR="000C234E" w:rsidRDefault="00000000">
      <w:pPr>
        <w:tabs>
          <w:tab w:val="left" w:pos="2694"/>
        </w:tabs>
        <w:spacing w:line="240" w:lineRule="auto"/>
        <w:ind w:right="-64"/>
        <w:jc w:val="both"/>
      </w:pPr>
      <w:r>
        <w:t>Recommendations are informed by available evidence and operational experience from Ebola and related filovirus outbreaks. As BVD specific evidence remains limited, recommendations may evolve. This statement aligns with WHO</w:t>
      </w:r>
      <w:r>
        <w:rPr>
          <w:vertAlign w:val="superscript"/>
        </w:rPr>
        <w:footnoteReference w:id="3"/>
      </w:r>
      <w:r>
        <w:t xml:space="preserve"> and Global Nutrition Cluster guidance</w:t>
      </w:r>
      <w:r>
        <w:rPr>
          <w:vertAlign w:val="superscript"/>
        </w:rPr>
        <w:footnoteReference w:id="4"/>
      </w:r>
      <w:r>
        <w:t>, the Operational Guidance on Infant and Young Child Feeding in Emergencies (OG-IFE)</w:t>
      </w:r>
      <w:r>
        <w:rPr>
          <w:vertAlign w:val="superscript"/>
        </w:rPr>
        <w:footnoteReference w:id="5"/>
      </w:r>
      <w:r>
        <w:t>, Operational Guidance on Breastfeeding Counselling in Emergencies</w:t>
      </w:r>
      <w:r>
        <w:rPr>
          <w:vertAlign w:val="superscript"/>
        </w:rPr>
        <w:footnoteReference w:id="6"/>
      </w:r>
      <w:r>
        <w:t>, Sphere standards</w:t>
      </w:r>
      <w:r>
        <w:rPr>
          <w:vertAlign w:val="superscript"/>
        </w:rPr>
        <w:footnoteReference w:id="7"/>
      </w:r>
      <w:r>
        <w:t>, and relevant national protocols.</w:t>
      </w:r>
    </w:p>
    <w:p w14:paraId="145A9C72" w14:textId="77777777" w:rsidR="000C234E" w:rsidRDefault="000C234E">
      <w:pPr>
        <w:tabs>
          <w:tab w:val="left" w:pos="2694"/>
        </w:tabs>
        <w:spacing w:line="240" w:lineRule="auto"/>
        <w:ind w:right="-64"/>
        <w:jc w:val="both"/>
      </w:pPr>
    </w:p>
    <w:p w14:paraId="73307749" w14:textId="77777777" w:rsidR="000C234E" w:rsidRDefault="00000000">
      <w:pPr>
        <w:tabs>
          <w:tab w:val="left" w:pos="2694"/>
        </w:tabs>
        <w:spacing w:line="240" w:lineRule="auto"/>
        <w:ind w:right="-64"/>
        <w:jc w:val="both"/>
      </w:pPr>
      <w:r>
        <w:rPr>
          <w:b/>
          <w:bCs/>
        </w:rPr>
        <w:t>For asymptomatic contacts of suspected or confirmed BVD cases, including mothers, infants, and primary caregivers, breastfeeding and age-appropriate feeding should generally continue while appropriate infection prevention and monitoring measures are followed</w:t>
      </w:r>
      <w:r>
        <w:t>, in line with WHO guidance and national protocols.</w:t>
      </w:r>
    </w:p>
    <w:p w14:paraId="255D1C5D" w14:textId="77777777" w:rsidR="000C234E" w:rsidRDefault="000C234E">
      <w:pPr>
        <w:tabs>
          <w:tab w:val="left" w:pos="2694"/>
        </w:tabs>
        <w:spacing w:line="240" w:lineRule="auto"/>
        <w:ind w:right="-64"/>
        <w:jc w:val="both"/>
      </w:pPr>
    </w:p>
    <w:p w14:paraId="0015E465" w14:textId="77777777" w:rsidR="000C234E" w:rsidRDefault="00000000">
      <w:pPr>
        <w:tabs>
          <w:tab w:val="left" w:pos="2694"/>
        </w:tabs>
        <w:spacing w:line="240" w:lineRule="auto"/>
        <w:ind w:right="-64"/>
        <w:jc w:val="both"/>
      </w:pPr>
      <w:r>
        <w:t>World Health Organization (WHO) guidance recommends temporarily stopping breastfeeding when acute Ebola Virus Disease (EVD), including BVD, is suspected or confirmed in breastfeeding mothers.</w:t>
      </w:r>
      <w:r>
        <w:rPr>
          <w:b/>
          <w:bCs/>
        </w:rPr>
        <w:t xml:space="preserve"> Infant and young child feeding decisions should be individualized</w:t>
      </w:r>
      <w:r>
        <w:t xml:space="preserve"> and should consider the child’s age, previous feeding practices, caregiver availability, access to appropriately supported alternative feeding options, and the risks associated with separation.</w:t>
      </w:r>
    </w:p>
    <w:p w14:paraId="62E7AA8A" w14:textId="77777777" w:rsidR="000C234E" w:rsidRDefault="000C234E">
      <w:pPr>
        <w:tabs>
          <w:tab w:val="left" w:pos="2694"/>
        </w:tabs>
        <w:spacing w:line="240" w:lineRule="auto"/>
        <w:ind w:right="-64"/>
        <w:jc w:val="both"/>
      </w:pPr>
    </w:p>
    <w:p w14:paraId="6C8664A5" w14:textId="77777777" w:rsidR="000C234E" w:rsidRDefault="00000000">
      <w:pPr>
        <w:tabs>
          <w:tab w:val="left" w:pos="2694"/>
        </w:tabs>
        <w:spacing w:line="240" w:lineRule="auto"/>
        <w:ind w:right="-64"/>
        <w:jc w:val="both"/>
      </w:pPr>
      <w:r>
        <w:t xml:space="preserve">For previously exclusively breastfed infants under 6 months of age </w:t>
      </w:r>
      <w:r>
        <w:rPr>
          <w:b/>
          <w:bCs/>
        </w:rPr>
        <w:t>comprehensive feeding and caregiving support is particularly critical,</w:t>
      </w:r>
      <w:r>
        <w:t xml:space="preserve"> as exclusive breastfeeding is the recommended feeding practice for this age group. For infants and young children 6–23 months of age, considerations should include continued age-appropriate complementary feeding alongside milk feeding support where applicable.</w:t>
      </w:r>
    </w:p>
    <w:p w14:paraId="7AD006B9" w14:textId="77777777" w:rsidR="000C234E" w:rsidRDefault="000C234E">
      <w:pPr>
        <w:tabs>
          <w:tab w:val="left" w:pos="2694"/>
        </w:tabs>
        <w:spacing w:line="240" w:lineRule="auto"/>
        <w:ind w:right="-64"/>
        <w:jc w:val="both"/>
      </w:pPr>
    </w:p>
    <w:p w14:paraId="199EDFEB" w14:textId="77777777" w:rsidR="000C234E" w:rsidRDefault="00000000">
      <w:pPr>
        <w:tabs>
          <w:tab w:val="left" w:pos="2694"/>
        </w:tabs>
        <w:spacing w:line="240" w:lineRule="auto"/>
        <w:ind w:right="-64"/>
        <w:jc w:val="both"/>
      </w:pPr>
      <w:r>
        <w:t>In situations where both the breastfeeding caregiver and infant are suspected or confirmed to have Bundibugyo Ebola virus disease, continued breastfeeding without separation may be considered, particularly for infants under 6 months of age, when no feasible alternative feeding or caregiving option exists. Decisions should follow WHO guidance, national protocols, and individualized clinical assessment.</w:t>
      </w:r>
    </w:p>
    <w:p w14:paraId="7F0105D2" w14:textId="77777777" w:rsidR="000C234E" w:rsidRDefault="000C234E">
      <w:pPr>
        <w:tabs>
          <w:tab w:val="left" w:pos="2694"/>
        </w:tabs>
        <w:spacing w:line="240" w:lineRule="auto"/>
        <w:ind w:right="-64"/>
        <w:jc w:val="both"/>
      </w:pPr>
    </w:p>
    <w:p w14:paraId="6549461E" w14:textId="77777777" w:rsidR="000C234E" w:rsidRDefault="00000000">
      <w:pPr>
        <w:tabs>
          <w:tab w:val="left" w:pos="2694"/>
        </w:tabs>
        <w:spacing w:line="240" w:lineRule="auto"/>
        <w:ind w:right="-64"/>
        <w:jc w:val="both"/>
      </w:pPr>
      <w:r>
        <w:t xml:space="preserve">It is critically important that in accordance with internationally accepted guidelines and relevant government policies, </w:t>
      </w:r>
      <w:r>
        <w:rPr>
          <w:b/>
          <w:bCs/>
        </w:rPr>
        <w:t>all actors are advised to NOT call for, support, accept or distribute donations of breast-milk substitutes (BMS), including commercial infant formula, other milk products, complementary foods, and feeding equipment such as bottles, teats, and breast pumps.</w:t>
      </w:r>
      <w:r>
        <w:t xml:space="preserve"> Such donations are difficult to manage and can increase risks related to inappropriate feeding, unhygienic preparation, and infectious disease, placing the lives of both breastfed and non-breastfed infants at risk.</w:t>
      </w:r>
    </w:p>
    <w:p w14:paraId="4713DE44" w14:textId="77777777" w:rsidR="000C234E" w:rsidRDefault="000C234E">
      <w:pPr>
        <w:tabs>
          <w:tab w:val="left" w:pos="2694"/>
        </w:tabs>
        <w:spacing w:line="240" w:lineRule="auto"/>
        <w:ind w:right="-64"/>
        <w:jc w:val="both"/>
      </w:pPr>
    </w:p>
    <w:p w14:paraId="6042A9B9" w14:textId="77777777" w:rsidR="000C234E" w:rsidRDefault="00000000">
      <w:pPr>
        <w:tabs>
          <w:tab w:val="left" w:pos="2694"/>
        </w:tabs>
        <w:spacing w:line="240" w:lineRule="auto"/>
        <w:ind w:right="-64"/>
        <w:jc w:val="both"/>
      </w:pPr>
      <w:r>
        <w:t xml:space="preserve">High-profile infectious disease outbreaks such as BVD can increase public attention, unsolicited donations, and pressure to rapidly distribute infant feeding products. This can further increase risks and undermine coordinated infant and young child feeding support. </w:t>
      </w:r>
      <w:r>
        <w:rPr>
          <w:b/>
          <w:bCs/>
        </w:rPr>
        <w:t>Particular vigilance is required to ensure that any support for non-breastfed infants is carefully targeted, appropriately supported, and coordinated</w:t>
      </w:r>
      <w:r>
        <w:t xml:space="preserve"> in line with WHO guidance, national protocols, and the Operational Guidance on Infant and Young Child Feeding in Emergencies.</w:t>
      </w:r>
    </w:p>
    <w:p w14:paraId="787601EF" w14:textId="77777777" w:rsidR="000C234E" w:rsidRDefault="000C234E">
      <w:pPr>
        <w:tabs>
          <w:tab w:val="left" w:pos="2694"/>
        </w:tabs>
        <w:spacing w:line="240" w:lineRule="auto"/>
        <w:ind w:right="-64"/>
        <w:jc w:val="both"/>
        <w:rPr>
          <w:b/>
          <w:bCs/>
        </w:rPr>
      </w:pPr>
    </w:p>
    <w:p w14:paraId="623524F5" w14:textId="77777777" w:rsidR="000C234E" w:rsidRDefault="00000000">
      <w:pPr>
        <w:tabs>
          <w:tab w:val="left" w:pos="2694"/>
        </w:tabs>
        <w:spacing w:line="240" w:lineRule="auto"/>
        <w:ind w:right="-64"/>
        <w:jc w:val="both"/>
      </w:pPr>
      <w:r>
        <w:rPr>
          <w:b/>
          <w:bCs/>
        </w:rPr>
        <w:t>Commercial infant formula for non-breastfed infants should be procured and used in alignment with the International Code of Marketing of Breast-milk Substitutes and subsequent World Health Assembly resolutions and Codex standards, and be based on a carefully conducted needs assessment</w:t>
      </w:r>
      <w:r>
        <w:rPr>
          <w:b/>
          <w:bCs/>
          <w:vertAlign w:val="superscript"/>
        </w:rPr>
        <w:footnoteReference w:id="8"/>
      </w:r>
      <w:r>
        <w:rPr>
          <w:b/>
          <w:bCs/>
        </w:rPr>
        <w:t xml:space="preserve">. </w:t>
      </w:r>
      <w:r>
        <w:t>No branding, promotional materials or commercial messaging should accompany BMS supplies.</w:t>
      </w:r>
    </w:p>
    <w:p w14:paraId="2BD7C3DD" w14:textId="77777777" w:rsidR="000C234E" w:rsidRDefault="000C234E">
      <w:pPr>
        <w:tabs>
          <w:tab w:val="left" w:pos="2694"/>
        </w:tabs>
        <w:spacing w:line="240" w:lineRule="auto"/>
        <w:ind w:right="-64"/>
        <w:jc w:val="both"/>
      </w:pPr>
    </w:p>
    <w:p w14:paraId="0F81CE9A" w14:textId="77777777" w:rsidR="000C234E" w:rsidRDefault="00000000">
      <w:pPr>
        <w:tabs>
          <w:tab w:val="left" w:pos="2694"/>
        </w:tabs>
        <w:spacing w:line="240" w:lineRule="auto"/>
        <w:ind w:right="-64"/>
        <w:jc w:val="both"/>
      </w:pPr>
      <w:r>
        <w:rPr>
          <w:b/>
          <w:bCs/>
        </w:rPr>
        <w:t>Do not include purchased or donated infant feeding supplies, including any milk products, bottles, or teats, in blanket or general distributions</w:t>
      </w:r>
      <w:r>
        <w:t>. Required BMS, including commercial infant formula, and supplies required to store, prepare, and feed infants and young children should be purchased (by humanitarian actor, health provider, or the caregiver) and provided as part of a sustained package of coordinated care based on assessed need and should be Code-compliant.</w:t>
      </w:r>
    </w:p>
    <w:p w14:paraId="01DFB135" w14:textId="77777777" w:rsidR="000C234E" w:rsidRDefault="000C234E">
      <w:pPr>
        <w:tabs>
          <w:tab w:val="left" w:pos="2694"/>
        </w:tabs>
        <w:spacing w:line="240" w:lineRule="auto"/>
        <w:ind w:right="-64"/>
        <w:jc w:val="both"/>
      </w:pPr>
    </w:p>
    <w:p w14:paraId="7D9DE7C3" w14:textId="77777777" w:rsidR="000C234E" w:rsidRDefault="00000000">
      <w:pPr>
        <w:tabs>
          <w:tab w:val="left" w:pos="2694"/>
        </w:tabs>
        <w:spacing w:line="240" w:lineRule="auto"/>
        <w:ind w:right="-64"/>
        <w:jc w:val="both"/>
      </w:pPr>
      <w:r>
        <w:t xml:space="preserve">The use of </w:t>
      </w:r>
      <w:r>
        <w:rPr>
          <w:b/>
          <w:bCs/>
        </w:rPr>
        <w:t>bottles and teats should be avoided</w:t>
      </w:r>
      <w:r>
        <w:t xml:space="preserve"> due to the increased risks associated with cleaning difficulties, contamination, infection, malnutrition, and mortality in emergency settings. Where commercial infant formula is required, cup or spoon feeding should be encouraged with appropriate caregiver support and follow-up.</w:t>
      </w:r>
    </w:p>
    <w:p w14:paraId="2DD115CF" w14:textId="77777777" w:rsidR="000C234E" w:rsidRDefault="000C234E">
      <w:pPr>
        <w:tabs>
          <w:tab w:val="left" w:pos="2694"/>
        </w:tabs>
        <w:spacing w:line="240" w:lineRule="auto"/>
        <w:ind w:right="-64"/>
        <w:jc w:val="both"/>
      </w:pPr>
    </w:p>
    <w:p w14:paraId="493E7B3E" w14:textId="77777777" w:rsidR="000C234E" w:rsidRDefault="00000000">
      <w:pPr>
        <w:tabs>
          <w:tab w:val="left" w:pos="2694"/>
        </w:tabs>
        <w:spacing w:line="240" w:lineRule="auto"/>
        <w:ind w:right="-64"/>
        <w:jc w:val="both"/>
      </w:pPr>
      <w:r>
        <w:rPr>
          <w:b/>
          <w:bCs/>
        </w:rPr>
        <w:t xml:space="preserve">When breastfeeding is temporarily interrupted and alternative feeding methods are required in cases of suspected or confirmed BVD, infant feeding decisions should be individualized and based on national and WHO guidance, the local context, infection prevention and control (IPC) considerations, caregiver availability, infant condition, and the feasibility of appropriate feeding options. </w:t>
      </w:r>
      <w:r>
        <w:t xml:space="preserve">Alternative human milk feeding approaches should be considered in line with national and WHO guidance. </w:t>
      </w:r>
    </w:p>
    <w:p w14:paraId="7D0AD994" w14:textId="77777777" w:rsidR="000C234E" w:rsidRDefault="000C234E">
      <w:pPr>
        <w:tabs>
          <w:tab w:val="left" w:pos="2694"/>
        </w:tabs>
        <w:spacing w:line="240" w:lineRule="auto"/>
        <w:ind w:right="-64"/>
        <w:jc w:val="both"/>
      </w:pPr>
    </w:p>
    <w:p w14:paraId="2449FDBA" w14:textId="77777777" w:rsidR="000C234E" w:rsidRDefault="00000000">
      <w:pPr>
        <w:tabs>
          <w:tab w:val="left" w:pos="2694"/>
        </w:tabs>
        <w:spacing w:line="240" w:lineRule="auto"/>
        <w:ind w:right="-64"/>
        <w:jc w:val="both"/>
      </w:pPr>
      <w:r>
        <w:t>Breastfeeding women should receive support to maintain lactation during illness or separation and receive skilled support to resume breastfeeding following recovery according to national or WHO guidance, including breastmilk testing protocols where available.</w:t>
      </w:r>
    </w:p>
    <w:p w14:paraId="45977EE5" w14:textId="77777777" w:rsidR="000C234E" w:rsidRDefault="000C234E">
      <w:pPr>
        <w:tabs>
          <w:tab w:val="left" w:pos="2694"/>
        </w:tabs>
        <w:spacing w:line="240" w:lineRule="auto"/>
        <w:ind w:right="-64"/>
        <w:jc w:val="both"/>
      </w:pPr>
    </w:p>
    <w:p w14:paraId="5FEBE51D" w14:textId="77777777" w:rsidR="000C234E" w:rsidRDefault="00000000">
      <w:pPr>
        <w:tabs>
          <w:tab w:val="left" w:pos="2694"/>
        </w:tabs>
        <w:spacing w:line="240" w:lineRule="auto"/>
        <w:ind w:right="-64"/>
        <w:jc w:val="both"/>
      </w:pPr>
      <w:r>
        <w:t xml:space="preserve">Where commercial infant formula is required for infants and young children whose mothers have suspected or confirmed BVD, their use should be carefully targeted and coordinated with the Ministry of Health, the lead nutrition coordination mechanism, and UNICEF where applicable. </w:t>
      </w:r>
    </w:p>
    <w:p w14:paraId="77C18623" w14:textId="77777777" w:rsidR="000C234E" w:rsidRDefault="000C234E">
      <w:pPr>
        <w:tabs>
          <w:tab w:val="left" w:pos="2694"/>
        </w:tabs>
        <w:spacing w:line="240" w:lineRule="auto"/>
        <w:ind w:right="-64"/>
        <w:jc w:val="both"/>
      </w:pPr>
    </w:p>
    <w:p w14:paraId="781ABBF8" w14:textId="77777777" w:rsidR="000C234E" w:rsidRDefault="00000000">
      <w:pPr>
        <w:tabs>
          <w:tab w:val="left" w:pos="2694"/>
        </w:tabs>
        <w:spacing w:line="240" w:lineRule="auto"/>
        <w:ind w:right="-64"/>
        <w:jc w:val="both"/>
      </w:pPr>
      <w:r>
        <w:t>UNICEF, as provider of first resort, may support procurement and supply of commercial infant formula in humanitarian contexts when needed, whether or not the Nutrition Cluster is activated. Non-breastfed infants and young children should receive a sustained package of feeding, caregiving, counselling, hygiene, monitoring, and follow-up support.</w:t>
      </w:r>
    </w:p>
    <w:p w14:paraId="0FD49644" w14:textId="77777777" w:rsidR="00DD74AC" w:rsidRDefault="00DD74AC">
      <w:pPr>
        <w:tabs>
          <w:tab w:val="left" w:pos="2694"/>
        </w:tabs>
        <w:spacing w:line="240" w:lineRule="auto"/>
        <w:ind w:right="-64"/>
        <w:jc w:val="both"/>
      </w:pPr>
    </w:p>
    <w:p w14:paraId="2642A996" w14:textId="77777777" w:rsidR="00DD74AC" w:rsidRDefault="00DD74AC">
      <w:pPr>
        <w:tabs>
          <w:tab w:val="left" w:pos="2694"/>
        </w:tabs>
        <w:spacing w:line="240" w:lineRule="auto"/>
        <w:ind w:right="-64"/>
        <w:jc w:val="both"/>
      </w:pPr>
    </w:p>
    <w:p w14:paraId="0C241355" w14:textId="77777777" w:rsidR="00DD74AC" w:rsidRDefault="00DD74AC">
      <w:pPr>
        <w:tabs>
          <w:tab w:val="left" w:pos="2694"/>
        </w:tabs>
        <w:spacing w:line="240" w:lineRule="auto"/>
        <w:ind w:right="-64"/>
        <w:jc w:val="both"/>
      </w:pPr>
    </w:p>
    <w:p w14:paraId="11DC0987" w14:textId="77777777" w:rsidR="00DD74AC" w:rsidRDefault="00DD74AC">
      <w:pPr>
        <w:tabs>
          <w:tab w:val="left" w:pos="2694"/>
        </w:tabs>
        <w:spacing w:line="240" w:lineRule="auto"/>
        <w:ind w:right="-64"/>
        <w:jc w:val="both"/>
      </w:pPr>
    </w:p>
    <w:p w14:paraId="07DC121D" w14:textId="77777777" w:rsidR="00DD74AC" w:rsidRDefault="00DD74AC">
      <w:pPr>
        <w:tabs>
          <w:tab w:val="left" w:pos="2694"/>
        </w:tabs>
        <w:spacing w:line="240" w:lineRule="auto"/>
        <w:ind w:right="-64"/>
        <w:jc w:val="both"/>
      </w:pPr>
    </w:p>
    <w:p w14:paraId="5643EF8A" w14:textId="77777777" w:rsidR="00DD74AC" w:rsidRDefault="00DD74AC">
      <w:pPr>
        <w:tabs>
          <w:tab w:val="left" w:pos="2694"/>
        </w:tabs>
        <w:spacing w:line="240" w:lineRule="auto"/>
        <w:ind w:right="-64"/>
        <w:jc w:val="both"/>
        <w:sectPr w:rsidR="00DD74AC">
          <w:headerReference w:type="default" r:id="rId9"/>
          <w:pgSz w:w="11906" w:h="16838"/>
          <w:pgMar w:top="720" w:right="720" w:bottom="720" w:left="720" w:header="708" w:footer="680" w:gutter="0"/>
          <w:pgNumType w:start="1"/>
          <w:cols w:space="720"/>
        </w:sectPr>
      </w:pPr>
    </w:p>
    <w:p w14:paraId="07496085" w14:textId="77777777" w:rsidR="000C234E" w:rsidRDefault="00000000">
      <w:pPr>
        <w:pBdr>
          <w:top w:val="nil"/>
          <w:left w:val="nil"/>
          <w:bottom w:val="nil"/>
          <w:right w:val="nil"/>
          <w:between w:val="nil"/>
        </w:pBdr>
        <w:tabs>
          <w:tab w:val="left" w:pos="2694"/>
        </w:tabs>
        <w:spacing w:line="240" w:lineRule="auto"/>
        <w:ind w:right="-347"/>
        <w:rPr>
          <w:b/>
          <w:bCs/>
          <w:color w:val="000000"/>
          <w:sz w:val="28"/>
          <w:szCs w:val="28"/>
        </w:rPr>
        <w:sectPr w:rsidR="000C234E">
          <w:type w:val="continuous"/>
          <w:pgSz w:w="11906" w:h="16838"/>
          <w:pgMar w:top="720" w:right="720" w:bottom="720" w:left="720" w:header="708" w:footer="708" w:gutter="0"/>
          <w:pgNumType w:start="1"/>
          <w:cols w:space="720"/>
        </w:sectPr>
      </w:pPr>
      <w:r>
        <w:rPr>
          <w:b/>
          <w:bCs/>
          <w:color w:val="000000"/>
          <w:sz w:val="28"/>
          <w:szCs w:val="28"/>
        </w:rPr>
        <w:lastRenderedPageBreak/>
        <w:t>We urge all responders to support the following recommendations:</w:t>
      </w:r>
    </w:p>
    <w:p w14:paraId="25088A90" w14:textId="77777777" w:rsidR="000C234E" w:rsidRDefault="000C234E">
      <w:pPr>
        <w:pBdr>
          <w:top w:val="nil"/>
          <w:left w:val="nil"/>
          <w:bottom w:val="nil"/>
          <w:right w:val="nil"/>
          <w:between w:val="nil"/>
        </w:pBdr>
        <w:tabs>
          <w:tab w:val="left" w:pos="2694"/>
        </w:tabs>
        <w:spacing w:line="240" w:lineRule="auto"/>
        <w:ind w:left="810" w:right="-347"/>
        <w:rPr>
          <w:color w:val="000000"/>
        </w:rPr>
        <w:sectPr w:rsidR="000C234E">
          <w:type w:val="continuous"/>
          <w:pgSz w:w="11906" w:h="16838"/>
          <w:pgMar w:top="720" w:right="566" w:bottom="720" w:left="720" w:header="708" w:footer="708" w:gutter="0"/>
          <w:pgNumType w:start="1"/>
          <w:cols w:num="2" w:space="720" w:equalWidth="0">
            <w:col w:w="4950" w:space="720"/>
            <w:col w:w="4950" w:space="0"/>
          </w:cols>
        </w:sectPr>
      </w:pPr>
    </w:p>
    <w:p w14:paraId="53B86B49" w14:textId="77777777" w:rsidR="000C234E" w:rsidRDefault="00000000">
      <w:pPr>
        <w:pBdr>
          <w:top w:val="nil"/>
          <w:left w:val="nil"/>
          <w:bottom w:val="nil"/>
          <w:right w:val="nil"/>
          <w:between w:val="nil"/>
        </w:pBdr>
        <w:tabs>
          <w:tab w:val="left" w:pos="2694"/>
        </w:tabs>
        <w:spacing w:line="240" w:lineRule="auto"/>
        <w:ind w:left="-180" w:right="-347"/>
        <w:jc w:val="both"/>
        <w:rPr>
          <w:b/>
          <w:bCs/>
          <w:color w:val="000000"/>
          <w:sz w:val="24"/>
          <w:szCs w:val="24"/>
        </w:rPr>
      </w:pPr>
      <w:r>
        <w:rPr>
          <w:b/>
          <w:bCs/>
          <w:color w:val="000000"/>
          <w:sz w:val="24"/>
          <w:szCs w:val="24"/>
        </w:rPr>
        <w:t>In suspected or confirmed cases of BVD in mother OR infant</w:t>
      </w:r>
    </w:p>
    <w:p w14:paraId="64F8B977" w14:textId="77777777" w:rsidR="000C234E" w:rsidRDefault="000C234E">
      <w:pPr>
        <w:pBdr>
          <w:top w:val="nil"/>
          <w:left w:val="nil"/>
          <w:bottom w:val="nil"/>
          <w:right w:val="nil"/>
          <w:between w:val="nil"/>
        </w:pBdr>
        <w:tabs>
          <w:tab w:val="left" w:pos="2694"/>
        </w:tabs>
        <w:spacing w:line="240" w:lineRule="auto"/>
        <w:ind w:left="180" w:right="-347"/>
        <w:jc w:val="both"/>
        <w:rPr>
          <w:color w:val="000000"/>
        </w:rPr>
      </w:pPr>
    </w:p>
    <w:p w14:paraId="34F0044A" w14:textId="77777777" w:rsidR="000C234E" w:rsidRDefault="00000000">
      <w:pPr>
        <w:numPr>
          <w:ilvl w:val="0"/>
          <w:numId w:val="1"/>
        </w:numPr>
        <w:pBdr>
          <w:top w:val="nil"/>
          <w:left w:val="nil"/>
          <w:bottom w:val="nil"/>
          <w:right w:val="nil"/>
          <w:between w:val="nil"/>
        </w:pBdr>
        <w:tabs>
          <w:tab w:val="left" w:pos="2694"/>
        </w:tabs>
        <w:spacing w:line="240" w:lineRule="auto"/>
        <w:ind w:left="180" w:right="-347"/>
        <w:jc w:val="both"/>
        <w:rPr>
          <w:color w:val="000000"/>
        </w:rPr>
      </w:pPr>
      <w:r>
        <w:rPr>
          <w:b/>
          <w:bCs/>
          <w:color w:val="000000"/>
        </w:rPr>
        <w:t>Ensure that all support alig</w:t>
      </w:r>
      <w:r>
        <w:rPr>
          <w:b/>
          <w:bCs/>
        </w:rPr>
        <w:t xml:space="preserve">ns with </w:t>
      </w:r>
      <w:r>
        <w:rPr>
          <w:b/>
          <w:bCs/>
          <w:color w:val="000000"/>
        </w:rPr>
        <w:t>recommended feeding practices for IYCF in the context of BVD</w:t>
      </w:r>
      <w:r>
        <w:rPr>
          <w:color w:val="000000"/>
        </w:rPr>
        <w:t xml:space="preserve">. </w:t>
      </w:r>
      <w:r>
        <w:t xml:space="preserve">Nutrition assessments and feeding support should begin early and be repeated regularly to identify changing nutritional needs and guide individualized support, including for infants, young children, and caregivers identified as contacts of suspected or confirmed BVD cases. </w:t>
      </w:r>
      <w:r>
        <w:rPr>
          <w:color w:val="000000"/>
        </w:rPr>
        <w:t xml:space="preserve">Mother–infant separation should occur only where clinically </w:t>
      </w:r>
      <w:r>
        <w:t xml:space="preserve">indicated, </w:t>
      </w:r>
      <w:proofErr w:type="gramStart"/>
      <w:r>
        <w:t xml:space="preserve">when </w:t>
      </w:r>
      <w:r>
        <w:rPr>
          <w:color w:val="000000"/>
        </w:rPr>
        <w:t xml:space="preserve"> and</w:t>
      </w:r>
      <w:proofErr w:type="gramEnd"/>
      <w:r>
        <w:rPr>
          <w:color w:val="000000"/>
        </w:rPr>
        <w:t xml:space="preserve"> should be minimized whenever feasible due to its potential effects on breastfeeding, maternal wellbeing, and infant outcomes.</w:t>
      </w:r>
    </w:p>
    <w:p w14:paraId="76E16099" w14:textId="77777777" w:rsidR="000C234E" w:rsidRDefault="000C234E">
      <w:pPr>
        <w:pBdr>
          <w:top w:val="nil"/>
          <w:left w:val="nil"/>
          <w:bottom w:val="nil"/>
          <w:right w:val="nil"/>
          <w:between w:val="nil"/>
        </w:pBdr>
        <w:tabs>
          <w:tab w:val="left" w:pos="2694"/>
        </w:tabs>
        <w:spacing w:line="240" w:lineRule="auto"/>
        <w:ind w:left="720" w:right="-347"/>
        <w:jc w:val="both"/>
      </w:pPr>
    </w:p>
    <w:p w14:paraId="3F43C5FE" w14:textId="77777777" w:rsidR="000C234E" w:rsidRDefault="00000000">
      <w:pPr>
        <w:numPr>
          <w:ilvl w:val="0"/>
          <w:numId w:val="1"/>
        </w:numPr>
        <w:pBdr>
          <w:top w:val="nil"/>
          <w:left w:val="nil"/>
          <w:bottom w:val="nil"/>
          <w:right w:val="nil"/>
          <w:between w:val="nil"/>
        </w:pBdr>
        <w:tabs>
          <w:tab w:val="left" w:pos="2694"/>
        </w:tabs>
        <w:spacing w:line="240" w:lineRule="auto"/>
        <w:ind w:left="180" w:right="-347"/>
        <w:jc w:val="both"/>
        <w:rPr>
          <w:color w:val="000000"/>
        </w:rPr>
      </w:pPr>
      <w:r>
        <w:t xml:space="preserve">Due to the elevated risk of miscarriage, stillbirth, and neonatal mortality associated with BVD during pregnancy, </w:t>
      </w:r>
      <w:r>
        <w:rPr>
          <w:b/>
          <w:bCs/>
        </w:rPr>
        <w:t>pregnant women and caregivers should receive comprehensive, compassionate, and individualised support throughout illness, pregnancy, birth, and the postnatal period</w:t>
      </w:r>
      <w:r>
        <w:t>. This includes mental health and psychosocial support (MHPSS), nutritional support, clinical care, and practical caregiving support, including bereavement support where needed.</w:t>
      </w:r>
    </w:p>
    <w:p w14:paraId="260F7738" w14:textId="77777777" w:rsidR="000C234E" w:rsidRDefault="000C234E">
      <w:pPr>
        <w:pBdr>
          <w:top w:val="nil"/>
          <w:left w:val="nil"/>
          <w:bottom w:val="nil"/>
          <w:right w:val="nil"/>
          <w:between w:val="nil"/>
        </w:pBdr>
        <w:tabs>
          <w:tab w:val="left" w:pos="2694"/>
        </w:tabs>
        <w:spacing w:line="240" w:lineRule="auto"/>
        <w:ind w:left="720" w:right="-347"/>
        <w:jc w:val="both"/>
      </w:pPr>
    </w:p>
    <w:p w14:paraId="3A5D5FEF" w14:textId="77777777" w:rsidR="000C234E" w:rsidRDefault="00000000">
      <w:pPr>
        <w:numPr>
          <w:ilvl w:val="0"/>
          <w:numId w:val="1"/>
        </w:numPr>
        <w:pBdr>
          <w:top w:val="nil"/>
          <w:left w:val="nil"/>
          <w:bottom w:val="nil"/>
          <w:right w:val="nil"/>
          <w:between w:val="nil"/>
        </w:pBdr>
        <w:tabs>
          <w:tab w:val="left" w:pos="2694"/>
        </w:tabs>
        <w:spacing w:line="240" w:lineRule="auto"/>
        <w:ind w:left="180" w:right="-347"/>
        <w:jc w:val="both"/>
        <w:rPr>
          <w:color w:val="000000"/>
        </w:rPr>
      </w:pPr>
      <w:r>
        <w:t xml:space="preserve">If an infant is born to a mother with confirmed or suspected BVD and is separated immediately after birth, </w:t>
      </w:r>
      <w:r>
        <w:rPr>
          <w:b/>
          <w:bCs/>
        </w:rPr>
        <w:t>regular follow-up is essential to monitor the infant’s health, support recommended feeding, and help the mother maintain lactation where the mother’s condition allows</w:t>
      </w:r>
      <w:r>
        <w:t xml:space="preserve">. Breastfeeding or </w:t>
      </w:r>
      <w:proofErr w:type="spellStart"/>
      <w:r>
        <w:t>relactation</w:t>
      </w:r>
      <w:proofErr w:type="spellEnd"/>
      <w:r>
        <w:t xml:space="preserve"> should resume only once recovery and testing requirements are met, in line with WHO guidance and national protocols, including two negative RT-PCR tests conducted at least 24 hours apart where required. Psychosocial support should address stress, grief, stigma, anxiety, separation, and reintegration.</w:t>
      </w:r>
    </w:p>
    <w:p w14:paraId="2B361D55" w14:textId="77777777" w:rsidR="000C234E" w:rsidRDefault="000C234E">
      <w:pPr>
        <w:pBdr>
          <w:top w:val="nil"/>
          <w:left w:val="nil"/>
          <w:bottom w:val="nil"/>
          <w:right w:val="nil"/>
          <w:between w:val="nil"/>
        </w:pBdr>
        <w:tabs>
          <w:tab w:val="left" w:pos="2694"/>
        </w:tabs>
        <w:spacing w:line="240" w:lineRule="auto"/>
        <w:ind w:left="720" w:right="-347"/>
        <w:jc w:val="both"/>
        <w:rPr>
          <w:b/>
          <w:bCs/>
        </w:rPr>
      </w:pPr>
    </w:p>
    <w:p w14:paraId="5610009F" w14:textId="77777777" w:rsidR="000C234E" w:rsidRDefault="00000000">
      <w:pPr>
        <w:numPr>
          <w:ilvl w:val="0"/>
          <w:numId w:val="1"/>
        </w:numPr>
        <w:pBdr>
          <w:top w:val="nil"/>
          <w:left w:val="nil"/>
          <w:bottom w:val="nil"/>
          <w:right w:val="nil"/>
          <w:between w:val="nil"/>
        </w:pBdr>
        <w:tabs>
          <w:tab w:val="left" w:pos="2694"/>
        </w:tabs>
        <w:spacing w:line="240" w:lineRule="auto"/>
        <w:ind w:left="180" w:right="-347"/>
        <w:jc w:val="both"/>
        <w:rPr>
          <w:color w:val="000000"/>
        </w:rPr>
      </w:pPr>
      <w:r>
        <w:rPr>
          <w:b/>
          <w:bCs/>
        </w:rPr>
        <w:t xml:space="preserve">For infants under 6 months of age in ETUs, ready-to-use infant formula (RUIF) is generally the preferred option where available, with powdered infant formula (PIF) considered a second option where support for hygienic preparation and feeding can be ensured. </w:t>
      </w:r>
    </w:p>
    <w:p w14:paraId="3EF4BD30" w14:textId="77777777" w:rsidR="000C234E" w:rsidRDefault="000C234E">
      <w:pPr>
        <w:pBdr>
          <w:top w:val="nil"/>
          <w:left w:val="nil"/>
          <w:bottom w:val="nil"/>
          <w:right w:val="nil"/>
          <w:between w:val="nil"/>
        </w:pBdr>
        <w:tabs>
          <w:tab w:val="left" w:pos="2694"/>
        </w:tabs>
        <w:spacing w:line="240" w:lineRule="auto"/>
        <w:ind w:left="720" w:right="-347"/>
        <w:jc w:val="both"/>
        <w:rPr>
          <w:b/>
          <w:bCs/>
        </w:rPr>
      </w:pPr>
    </w:p>
    <w:p w14:paraId="4E0AA3B8" w14:textId="77777777" w:rsidR="000C234E" w:rsidRDefault="00000000">
      <w:pPr>
        <w:numPr>
          <w:ilvl w:val="0"/>
          <w:numId w:val="1"/>
        </w:numPr>
        <w:pBdr>
          <w:top w:val="nil"/>
          <w:left w:val="nil"/>
          <w:bottom w:val="nil"/>
          <w:right w:val="nil"/>
          <w:between w:val="nil"/>
        </w:pBdr>
        <w:tabs>
          <w:tab w:val="left" w:pos="2694"/>
        </w:tabs>
        <w:spacing w:line="240" w:lineRule="auto"/>
        <w:ind w:left="180" w:right="-347"/>
        <w:jc w:val="both"/>
        <w:rPr>
          <w:color w:val="000000"/>
        </w:rPr>
      </w:pPr>
      <w:r>
        <w:rPr>
          <w:b/>
          <w:bCs/>
        </w:rPr>
        <w:t xml:space="preserve">For children 6–23 months of age unable to receive breast milk, UHT whole milk may be considered alongside appropriate complementary feeding support according to age, context, and national </w:t>
      </w:r>
      <w:proofErr w:type="gramStart"/>
      <w:r>
        <w:rPr>
          <w:b/>
          <w:bCs/>
        </w:rPr>
        <w:t>guidance .</w:t>
      </w:r>
      <w:proofErr w:type="gramEnd"/>
      <w:r>
        <w:rPr>
          <w:b/>
          <w:bCs/>
        </w:rPr>
        <w:t xml:space="preserve"> </w:t>
      </w:r>
    </w:p>
    <w:p w14:paraId="0937960D" w14:textId="77777777" w:rsidR="000C234E" w:rsidRDefault="000C234E">
      <w:pPr>
        <w:pBdr>
          <w:top w:val="nil"/>
          <w:left w:val="nil"/>
          <w:bottom w:val="nil"/>
          <w:right w:val="nil"/>
          <w:between w:val="nil"/>
        </w:pBdr>
        <w:tabs>
          <w:tab w:val="left" w:pos="2694"/>
        </w:tabs>
        <w:spacing w:line="240" w:lineRule="auto"/>
        <w:ind w:left="720" w:right="-347"/>
        <w:jc w:val="both"/>
        <w:rPr>
          <w:b/>
          <w:bCs/>
        </w:rPr>
      </w:pPr>
    </w:p>
    <w:p w14:paraId="348419C9" w14:textId="77777777" w:rsidR="000C234E" w:rsidRDefault="00000000">
      <w:pPr>
        <w:numPr>
          <w:ilvl w:val="0"/>
          <w:numId w:val="1"/>
        </w:numPr>
        <w:pBdr>
          <w:top w:val="nil"/>
          <w:left w:val="nil"/>
          <w:bottom w:val="nil"/>
          <w:right w:val="nil"/>
          <w:between w:val="nil"/>
        </w:pBdr>
        <w:tabs>
          <w:tab w:val="left" w:pos="2694"/>
        </w:tabs>
        <w:spacing w:line="240" w:lineRule="auto"/>
        <w:ind w:left="180" w:right="-347"/>
        <w:jc w:val="both"/>
        <w:rPr>
          <w:color w:val="000000"/>
        </w:rPr>
      </w:pPr>
      <w:r>
        <w:rPr>
          <w:b/>
          <w:bCs/>
        </w:rPr>
        <w:t>When separation occurs due to illness, isolation, treatment, or IPC measures, it should be medically required, kept as short as possible, and negative effects reduced as much as possible.</w:t>
      </w:r>
      <w:r>
        <w:t xml:space="preserve"> Separation can increase risks of malnutrition, feeding interruption, unsupported use of BMS, reduced responsive caregiving, psychosocial distress, protection concerns, and mortality, especially for infants under 6 months</w:t>
      </w:r>
    </w:p>
    <w:p w14:paraId="4ADDFC2D" w14:textId="77777777" w:rsidR="000C234E" w:rsidRDefault="000C234E">
      <w:pPr>
        <w:pBdr>
          <w:top w:val="nil"/>
          <w:left w:val="nil"/>
          <w:bottom w:val="nil"/>
          <w:right w:val="nil"/>
          <w:between w:val="nil"/>
        </w:pBdr>
        <w:tabs>
          <w:tab w:val="left" w:pos="2694"/>
        </w:tabs>
        <w:spacing w:line="240" w:lineRule="auto"/>
        <w:ind w:left="720" w:right="-347"/>
        <w:jc w:val="both"/>
      </w:pPr>
    </w:p>
    <w:p w14:paraId="4120211D" w14:textId="77777777" w:rsidR="000C234E" w:rsidRDefault="00000000">
      <w:pPr>
        <w:numPr>
          <w:ilvl w:val="0"/>
          <w:numId w:val="1"/>
        </w:numPr>
        <w:pBdr>
          <w:top w:val="nil"/>
          <w:left w:val="nil"/>
          <w:bottom w:val="nil"/>
          <w:right w:val="nil"/>
          <w:between w:val="nil"/>
        </w:pBdr>
        <w:tabs>
          <w:tab w:val="left" w:pos="2694"/>
        </w:tabs>
        <w:spacing w:line="240" w:lineRule="auto"/>
        <w:ind w:left="180" w:right="-347"/>
        <w:jc w:val="both"/>
        <w:rPr>
          <w:color w:val="000000"/>
        </w:rPr>
      </w:pPr>
      <w:r>
        <w:t>Health facilities, ETUs, and isolation settings should</w:t>
      </w:r>
      <w:r>
        <w:rPr>
          <w:b/>
          <w:bCs/>
        </w:rPr>
        <w:t xml:space="preserve"> take active measures to preserve caregiver-child connection and reduce distress wherever possible</w:t>
      </w:r>
      <w:r>
        <w:t>. This may include co-location or rooming-in where clinically appropriate, visual or verbal contact aligned with IPC measures such as clear viewing barriers like as windows or clear tarp to allow for communication between mother and child, and dedicated caregivers or feeding assistants where needed. Young children and severely ill patients may require dedicated caregivers or feeding assistants to support feeding, hydration, comfort, and responsive care. Mothers and primary caregivers who are in isolation should receive regular information and updates regarding their child’s condition and feeding.</w:t>
      </w:r>
    </w:p>
    <w:p w14:paraId="08A33C6A" w14:textId="77777777" w:rsidR="000C234E" w:rsidRDefault="000C234E">
      <w:pPr>
        <w:pBdr>
          <w:top w:val="nil"/>
          <w:left w:val="nil"/>
          <w:bottom w:val="nil"/>
          <w:right w:val="nil"/>
          <w:between w:val="nil"/>
        </w:pBdr>
        <w:tabs>
          <w:tab w:val="left" w:pos="2694"/>
        </w:tabs>
        <w:spacing w:line="240" w:lineRule="auto"/>
        <w:ind w:left="720" w:right="-347"/>
        <w:jc w:val="both"/>
      </w:pPr>
    </w:p>
    <w:p w14:paraId="7951710A" w14:textId="77777777" w:rsidR="000C234E" w:rsidRDefault="00000000">
      <w:pPr>
        <w:numPr>
          <w:ilvl w:val="0"/>
          <w:numId w:val="1"/>
        </w:numPr>
        <w:pBdr>
          <w:top w:val="nil"/>
          <w:left w:val="nil"/>
          <w:bottom w:val="nil"/>
          <w:right w:val="nil"/>
          <w:between w:val="nil"/>
        </w:pBdr>
        <w:tabs>
          <w:tab w:val="left" w:pos="2694"/>
        </w:tabs>
        <w:spacing w:line="240" w:lineRule="auto"/>
        <w:ind w:left="180" w:right="-347"/>
        <w:jc w:val="both"/>
        <w:rPr>
          <w:color w:val="000000"/>
        </w:rPr>
      </w:pPr>
      <w:r>
        <w:rPr>
          <w:b/>
          <w:bCs/>
        </w:rPr>
        <w:t>Infants and young children affected by separation should receive a comprehensive package of feeding, caregiving, protection, and follow-up support</w:t>
      </w:r>
      <w:r>
        <w:t xml:space="preserve">, including feeding assessment, age-appropriate feeding support, adequate supplies, counselling, responsive caregiving, hygiene and IPC support, MHPSS, protection follow-up, nutrition monitoring, and regular reassessment of feeding options and reunification </w:t>
      </w:r>
      <w:proofErr w:type="gramStart"/>
      <w:r>
        <w:t>opportunities..</w:t>
      </w:r>
      <w:proofErr w:type="gramEnd"/>
    </w:p>
    <w:p w14:paraId="446A9839" w14:textId="77777777" w:rsidR="000C234E" w:rsidRDefault="000C234E">
      <w:pPr>
        <w:pBdr>
          <w:top w:val="nil"/>
          <w:left w:val="nil"/>
          <w:bottom w:val="nil"/>
          <w:right w:val="nil"/>
          <w:between w:val="nil"/>
        </w:pBdr>
        <w:tabs>
          <w:tab w:val="left" w:pos="2694"/>
        </w:tabs>
        <w:spacing w:line="240" w:lineRule="auto"/>
        <w:ind w:left="720" w:right="-347"/>
        <w:jc w:val="both"/>
      </w:pPr>
    </w:p>
    <w:p w14:paraId="485EABD5" w14:textId="77777777" w:rsidR="000C234E" w:rsidRDefault="00000000">
      <w:pPr>
        <w:numPr>
          <w:ilvl w:val="0"/>
          <w:numId w:val="1"/>
        </w:numPr>
        <w:pBdr>
          <w:top w:val="nil"/>
          <w:left w:val="nil"/>
          <w:bottom w:val="nil"/>
          <w:right w:val="nil"/>
          <w:between w:val="nil"/>
        </w:pBdr>
        <w:tabs>
          <w:tab w:val="left" w:pos="2694"/>
        </w:tabs>
        <w:spacing w:line="240" w:lineRule="auto"/>
        <w:ind w:left="180" w:right="-347"/>
        <w:jc w:val="both"/>
        <w:rPr>
          <w:color w:val="000000"/>
        </w:rPr>
      </w:pPr>
      <w:r>
        <w:rPr>
          <w:b/>
          <w:bCs/>
        </w:rPr>
        <w:t xml:space="preserve">Breastfeeding mothers and primary caregivers separated from their infants should receive counselling and support to maintain or re-establish lactation, </w:t>
      </w:r>
      <w:r>
        <w:t xml:space="preserve">including breast milk expression when appropriate. This can help preserve future breastfeeding options and reduce risks from abrupt cessation, including engorgement, pain, and mastitis. Clear IPC guidance should be provided on the handling, storage, use, or disposal of expressed breast milk according to WHO guidance, national protocols, and clinical context. </w:t>
      </w:r>
      <w:r>
        <w:rPr>
          <w:b/>
          <w:bCs/>
        </w:rPr>
        <w:t>In most contexts, wet nursing is not recommended because there is a risk that Ebola virus could be transmitted from the wet nurse to the infant, or from the infant to the wet nurse, if either becomes infected.</w:t>
      </w:r>
    </w:p>
    <w:p w14:paraId="72F2DE25" w14:textId="77777777" w:rsidR="000C234E" w:rsidRDefault="000C234E">
      <w:pPr>
        <w:pBdr>
          <w:top w:val="nil"/>
          <w:left w:val="nil"/>
          <w:bottom w:val="nil"/>
          <w:right w:val="nil"/>
          <w:between w:val="nil"/>
        </w:pBdr>
        <w:tabs>
          <w:tab w:val="left" w:pos="2694"/>
        </w:tabs>
        <w:spacing w:line="240" w:lineRule="auto"/>
        <w:ind w:left="-180" w:right="-347"/>
        <w:jc w:val="both"/>
        <w:rPr>
          <w:b/>
          <w:bCs/>
        </w:rPr>
      </w:pPr>
    </w:p>
    <w:p w14:paraId="6A41347D" w14:textId="77777777" w:rsidR="000C234E" w:rsidRDefault="00000000">
      <w:pPr>
        <w:pBdr>
          <w:top w:val="nil"/>
          <w:left w:val="nil"/>
          <w:bottom w:val="nil"/>
          <w:right w:val="nil"/>
          <w:between w:val="nil"/>
        </w:pBdr>
        <w:tabs>
          <w:tab w:val="left" w:pos="2694"/>
        </w:tabs>
        <w:spacing w:line="240" w:lineRule="auto"/>
        <w:ind w:right="-347"/>
        <w:rPr>
          <w:b/>
          <w:bCs/>
          <w:color w:val="000000"/>
          <w:sz w:val="24"/>
          <w:szCs w:val="24"/>
        </w:rPr>
        <w:sectPr w:rsidR="000C234E">
          <w:type w:val="continuous"/>
          <w:pgSz w:w="11906" w:h="16838"/>
          <w:pgMar w:top="720" w:right="566" w:bottom="720" w:left="720" w:header="708" w:footer="708" w:gutter="0"/>
          <w:pgNumType w:start="1"/>
          <w:cols w:space="720"/>
        </w:sectPr>
      </w:pPr>
      <w:r>
        <w:rPr>
          <w:b/>
          <w:bCs/>
          <w:color w:val="000000"/>
          <w:sz w:val="24"/>
          <w:szCs w:val="24"/>
        </w:rPr>
        <w:lastRenderedPageBreak/>
        <w:t>Within the general community</w:t>
      </w:r>
    </w:p>
    <w:p w14:paraId="628793C6" w14:textId="77777777" w:rsidR="000C234E" w:rsidRDefault="000C234E">
      <w:pPr>
        <w:pBdr>
          <w:top w:val="nil"/>
          <w:left w:val="nil"/>
          <w:bottom w:val="nil"/>
          <w:right w:val="nil"/>
          <w:between w:val="nil"/>
        </w:pBdr>
        <w:tabs>
          <w:tab w:val="left" w:pos="2694"/>
        </w:tabs>
        <w:spacing w:line="240" w:lineRule="auto"/>
        <w:ind w:right="-347"/>
        <w:jc w:val="both"/>
        <w:rPr>
          <w:color w:val="000000"/>
        </w:rPr>
        <w:sectPr w:rsidR="000C234E">
          <w:footerReference w:type="default" r:id="rId10"/>
          <w:type w:val="continuous"/>
          <w:pgSz w:w="11906" w:h="16838"/>
          <w:pgMar w:top="720" w:right="720" w:bottom="720" w:left="720" w:header="708" w:footer="708" w:gutter="0"/>
          <w:pgNumType w:start="1"/>
          <w:cols w:space="720"/>
        </w:sectPr>
      </w:pPr>
    </w:p>
    <w:p w14:paraId="063CF025" w14:textId="77777777" w:rsidR="000C234E" w:rsidRDefault="00000000">
      <w:pPr>
        <w:numPr>
          <w:ilvl w:val="0"/>
          <w:numId w:val="1"/>
        </w:numPr>
        <w:pBdr>
          <w:top w:val="nil"/>
          <w:left w:val="nil"/>
          <w:bottom w:val="nil"/>
          <w:right w:val="nil"/>
          <w:between w:val="nil"/>
        </w:pBdr>
        <w:tabs>
          <w:tab w:val="left" w:pos="2694"/>
        </w:tabs>
        <w:spacing w:line="240" w:lineRule="auto"/>
        <w:ind w:left="180" w:right="-347"/>
        <w:jc w:val="both"/>
        <w:rPr>
          <w:color w:val="000000"/>
        </w:rPr>
      </w:pPr>
      <w:r>
        <w:rPr>
          <w:b/>
          <w:bCs/>
          <w:color w:val="000000"/>
        </w:rPr>
        <w:t>Prioritise the needs of pregna</w:t>
      </w:r>
      <w:r>
        <w:rPr>
          <w:b/>
          <w:bCs/>
        </w:rPr>
        <w:t xml:space="preserve">nt and </w:t>
      </w:r>
      <w:r>
        <w:rPr>
          <w:b/>
          <w:bCs/>
          <w:color w:val="000000"/>
        </w:rPr>
        <w:t>breastfeeding women and</w:t>
      </w:r>
      <w:r>
        <w:rPr>
          <w:color w:val="000000"/>
        </w:rPr>
        <w:t xml:space="preserve"> </w:t>
      </w:r>
      <w:r>
        <w:rPr>
          <w:b/>
          <w:bCs/>
          <w:color w:val="000000"/>
        </w:rPr>
        <w:t>girls (</w:t>
      </w:r>
      <w:r>
        <w:rPr>
          <w:b/>
          <w:bCs/>
        </w:rPr>
        <w:t>PBWG)</w:t>
      </w:r>
      <w:r>
        <w:rPr>
          <w:color w:val="000000"/>
        </w:rPr>
        <w:t xml:space="preserve"> early on and provide adequate protection and support </w:t>
      </w:r>
      <w:r>
        <w:t>through</w:t>
      </w:r>
      <w:r>
        <w:rPr>
          <w:color w:val="000000"/>
        </w:rPr>
        <w:t xml:space="preserve"> supportive environments (e.g. mother and baby areas, protection from inappropriate commercial milk formula distributions) and providing skilled breastfeeding support</w:t>
      </w:r>
      <w:r>
        <w:t>.</w:t>
      </w:r>
    </w:p>
    <w:p w14:paraId="6AD56D6B" w14:textId="77777777" w:rsidR="000C234E" w:rsidRDefault="000C234E">
      <w:pPr>
        <w:pBdr>
          <w:top w:val="nil"/>
          <w:left w:val="nil"/>
          <w:bottom w:val="nil"/>
          <w:right w:val="nil"/>
          <w:between w:val="nil"/>
        </w:pBdr>
        <w:tabs>
          <w:tab w:val="left" w:pos="2694"/>
        </w:tabs>
        <w:spacing w:line="240" w:lineRule="auto"/>
        <w:ind w:left="720" w:right="-347"/>
        <w:jc w:val="both"/>
        <w:rPr>
          <w:b/>
          <w:bCs/>
        </w:rPr>
      </w:pPr>
    </w:p>
    <w:p w14:paraId="18D381A2" w14:textId="77777777" w:rsidR="000C234E" w:rsidRDefault="00000000">
      <w:pPr>
        <w:numPr>
          <w:ilvl w:val="0"/>
          <w:numId w:val="1"/>
        </w:numPr>
        <w:pBdr>
          <w:top w:val="nil"/>
          <w:left w:val="nil"/>
          <w:bottom w:val="nil"/>
          <w:right w:val="nil"/>
          <w:between w:val="nil"/>
        </w:pBdr>
        <w:tabs>
          <w:tab w:val="left" w:pos="2694"/>
        </w:tabs>
        <w:spacing w:line="240" w:lineRule="auto"/>
        <w:ind w:left="180" w:right="-347"/>
        <w:jc w:val="both"/>
        <w:rPr>
          <w:color w:val="000000"/>
        </w:rPr>
      </w:pPr>
      <w:r>
        <w:rPr>
          <w:b/>
          <w:bCs/>
        </w:rPr>
        <w:t>Community education on recommended infant feeding during BVD outbreaks is essential.</w:t>
      </w:r>
      <w:r>
        <w:t xml:space="preserve"> Families should receive clear information on breastfeeding risks when BVD is suspected or confirmed, risks of unsupported use of BMS including commercial infant formula, and relevant IPC measures for infant care. They should also understand that breastfeeding remains important when BVD is not suspected or confirmed in mothers or infants, including among asymptomatic contacts. Messaging should distinguish contact monitoring, suspected infection, and confirmed infection to reduce unnecessary breastfeeding interruption, fear, stigma, and inappropriate BMS use. Frontline staff across sectors should reinforce these precautions while supporting appropriate feeding practices.</w:t>
      </w:r>
    </w:p>
    <w:p w14:paraId="0520DC94" w14:textId="77777777" w:rsidR="000C234E" w:rsidRDefault="000C234E">
      <w:pPr>
        <w:pBdr>
          <w:top w:val="nil"/>
          <w:left w:val="nil"/>
          <w:bottom w:val="nil"/>
          <w:right w:val="nil"/>
          <w:between w:val="nil"/>
        </w:pBdr>
        <w:tabs>
          <w:tab w:val="left" w:pos="2694"/>
        </w:tabs>
        <w:spacing w:line="240" w:lineRule="auto"/>
        <w:ind w:left="720" w:right="-347"/>
        <w:jc w:val="both"/>
      </w:pPr>
    </w:p>
    <w:p w14:paraId="58BABA22" w14:textId="77777777" w:rsidR="000C234E" w:rsidRDefault="00000000">
      <w:pPr>
        <w:numPr>
          <w:ilvl w:val="0"/>
          <w:numId w:val="1"/>
        </w:numPr>
        <w:pBdr>
          <w:top w:val="nil"/>
          <w:left w:val="nil"/>
          <w:bottom w:val="nil"/>
          <w:right w:val="nil"/>
          <w:between w:val="nil"/>
        </w:pBdr>
        <w:tabs>
          <w:tab w:val="left" w:pos="2694"/>
        </w:tabs>
        <w:spacing w:line="240" w:lineRule="auto"/>
        <w:ind w:left="180" w:right="-347"/>
        <w:jc w:val="both"/>
        <w:rPr>
          <w:b/>
          <w:bCs/>
          <w:color w:val="000000"/>
        </w:rPr>
      </w:pPr>
      <w:r>
        <w:rPr>
          <w:b/>
          <w:bCs/>
          <w:color w:val="000000"/>
        </w:rPr>
        <w:t>For mothers and infants without suspected or confirmed BVD, early initiation of breastfeeding, exclusive breastfeeding during the first six months and continued breastfeeding up to two years and beyond should continue to be actively protected, promoted, and supported.</w:t>
      </w:r>
    </w:p>
    <w:p w14:paraId="0E83962D" w14:textId="77777777" w:rsidR="000C234E" w:rsidRDefault="000C234E">
      <w:pPr>
        <w:pBdr>
          <w:top w:val="nil"/>
          <w:left w:val="nil"/>
          <w:bottom w:val="nil"/>
          <w:right w:val="nil"/>
          <w:between w:val="nil"/>
        </w:pBdr>
        <w:spacing w:after="160" w:line="259" w:lineRule="auto"/>
        <w:ind w:left="720"/>
        <w:rPr>
          <w:color w:val="000000"/>
        </w:rPr>
      </w:pPr>
    </w:p>
    <w:p w14:paraId="6924FE6F" w14:textId="77777777" w:rsidR="000C234E" w:rsidRDefault="00000000">
      <w:pPr>
        <w:numPr>
          <w:ilvl w:val="0"/>
          <w:numId w:val="1"/>
        </w:numPr>
        <w:pBdr>
          <w:top w:val="nil"/>
          <w:left w:val="nil"/>
          <w:bottom w:val="nil"/>
          <w:right w:val="nil"/>
          <w:between w:val="nil"/>
        </w:pBdr>
        <w:tabs>
          <w:tab w:val="left" w:pos="2694"/>
        </w:tabs>
        <w:spacing w:line="240" w:lineRule="auto"/>
        <w:ind w:left="180" w:right="-347"/>
        <w:jc w:val="both"/>
        <w:rPr>
          <w:color w:val="000000"/>
        </w:rPr>
      </w:pPr>
      <w:r>
        <w:rPr>
          <w:b/>
          <w:bCs/>
          <w:color w:val="000000"/>
        </w:rPr>
        <w:t xml:space="preserve">Ensure </w:t>
      </w:r>
      <w:r>
        <w:rPr>
          <w:b/>
          <w:bCs/>
        </w:rPr>
        <w:t>pregnant and breastfeeding women and girls (PBWG)</w:t>
      </w:r>
      <w:r>
        <w:rPr>
          <w:b/>
          <w:bCs/>
          <w:color w:val="000000"/>
        </w:rPr>
        <w:t xml:space="preserve"> have access to food, water, shelter, health care, protection, psychosocial support and other </w:t>
      </w:r>
      <w:r>
        <w:rPr>
          <w:b/>
          <w:bCs/>
        </w:rPr>
        <w:t>essential services</w:t>
      </w:r>
      <w:r>
        <w:rPr>
          <w:color w:val="000000"/>
        </w:rPr>
        <w:t xml:space="preserve">. </w:t>
      </w:r>
      <w:r>
        <w:t>Prioritise those</w:t>
      </w:r>
      <w:r>
        <w:rPr>
          <w:color w:val="000000"/>
        </w:rPr>
        <w:t xml:space="preserve"> affected by quarantine, movement restrictions, contact monitoring, isolation, or caregiving disruption. Consider </w:t>
      </w:r>
      <w:r>
        <w:t>remote and community-based approaches for continued counselling and psychosocial support</w:t>
      </w:r>
      <w:r>
        <w:rPr>
          <w:color w:val="000000"/>
        </w:rPr>
        <w:t xml:space="preserve"> in the context of isolation and confinement. </w:t>
      </w:r>
    </w:p>
    <w:p w14:paraId="4B41CA1B" w14:textId="77777777" w:rsidR="000C234E" w:rsidRDefault="000C234E">
      <w:pPr>
        <w:pBdr>
          <w:top w:val="nil"/>
          <w:left w:val="nil"/>
          <w:bottom w:val="nil"/>
          <w:right w:val="nil"/>
          <w:between w:val="nil"/>
        </w:pBdr>
        <w:spacing w:after="160" w:line="259" w:lineRule="auto"/>
        <w:ind w:left="720"/>
        <w:rPr>
          <w:color w:val="000000"/>
        </w:rPr>
      </w:pPr>
    </w:p>
    <w:p w14:paraId="35F34939" w14:textId="77777777" w:rsidR="000C234E" w:rsidRDefault="00000000">
      <w:pPr>
        <w:numPr>
          <w:ilvl w:val="0"/>
          <w:numId w:val="1"/>
        </w:numPr>
        <w:pBdr>
          <w:top w:val="nil"/>
          <w:left w:val="nil"/>
          <w:bottom w:val="nil"/>
          <w:right w:val="nil"/>
          <w:between w:val="nil"/>
        </w:pBdr>
        <w:tabs>
          <w:tab w:val="left" w:pos="2694"/>
        </w:tabs>
        <w:spacing w:line="240" w:lineRule="auto"/>
        <w:ind w:left="180" w:right="-347"/>
        <w:jc w:val="both"/>
        <w:rPr>
          <w:color w:val="000000"/>
        </w:rPr>
      </w:pPr>
      <w:r>
        <w:rPr>
          <w:b/>
          <w:bCs/>
        </w:rPr>
        <w:t>Identify and support infants and young children who are not breastfed and reduce feeding-related risks as much as possible</w:t>
      </w:r>
      <w:r>
        <w:rPr>
          <w:b/>
          <w:bCs/>
          <w:color w:val="000000"/>
        </w:rPr>
        <w:t xml:space="preserve">. </w:t>
      </w:r>
      <w:r>
        <w:t xml:space="preserve">Uncontrolled BMS distribution, including commercial infant formula, </w:t>
      </w:r>
      <w:r>
        <w:rPr>
          <w:color w:val="000000"/>
        </w:rPr>
        <w:t>increases the risk of illness, malnutrition and death. Infants requi</w:t>
      </w:r>
      <w:r>
        <w:t>ring</w:t>
      </w:r>
      <w:r>
        <w:rPr>
          <w:color w:val="000000"/>
        </w:rPr>
        <w:t xml:space="preserve"> commerc</w:t>
      </w:r>
      <w:r>
        <w:t>ial</w:t>
      </w:r>
      <w:r>
        <w:rPr>
          <w:color w:val="000000"/>
        </w:rPr>
        <w:t xml:space="preserve"> infant formula should be urgently identified, assessed, and </w:t>
      </w:r>
      <w:r>
        <w:t>supported</w:t>
      </w:r>
      <w:r>
        <w:rPr>
          <w:color w:val="000000"/>
        </w:rPr>
        <w:t xml:space="preserve"> with</w:t>
      </w:r>
      <w:r>
        <w:t xml:space="preserve"> sustained </w:t>
      </w:r>
      <w:r>
        <w:rPr>
          <w:color w:val="000000"/>
        </w:rPr>
        <w:t>suppl</w:t>
      </w:r>
      <w:r>
        <w:t>ies</w:t>
      </w:r>
      <w:r>
        <w:rPr>
          <w:color w:val="000000"/>
        </w:rPr>
        <w:t>, feeding equipment,</w:t>
      </w:r>
      <w:r>
        <w:t xml:space="preserve"> hygienic</w:t>
      </w:r>
      <w:r>
        <w:rPr>
          <w:color w:val="000000"/>
        </w:rPr>
        <w:t xml:space="preserve"> preparation support, individual counselling, and regular follow up. </w:t>
      </w:r>
      <w:r>
        <w:t>Feeding support needs should be routinely assessed and monitored, especially among infants, young children and severely ill patients requiring assistance.</w:t>
      </w:r>
    </w:p>
    <w:p w14:paraId="514CDA43" w14:textId="77777777" w:rsidR="000C234E" w:rsidRDefault="000C234E">
      <w:pPr>
        <w:pBdr>
          <w:top w:val="nil"/>
          <w:left w:val="nil"/>
          <w:bottom w:val="nil"/>
          <w:right w:val="nil"/>
          <w:between w:val="nil"/>
        </w:pBdr>
        <w:tabs>
          <w:tab w:val="left" w:pos="2694"/>
        </w:tabs>
        <w:spacing w:line="240" w:lineRule="auto"/>
        <w:ind w:left="180" w:right="-347"/>
        <w:jc w:val="both"/>
        <w:rPr>
          <w:color w:val="000000"/>
        </w:rPr>
      </w:pPr>
    </w:p>
    <w:p w14:paraId="0C5E0BEB" w14:textId="77777777" w:rsidR="000C234E" w:rsidRDefault="00000000">
      <w:pPr>
        <w:numPr>
          <w:ilvl w:val="0"/>
          <w:numId w:val="1"/>
        </w:numPr>
        <w:pBdr>
          <w:top w:val="nil"/>
          <w:left w:val="nil"/>
          <w:bottom w:val="nil"/>
          <w:right w:val="nil"/>
          <w:between w:val="nil"/>
        </w:pBdr>
        <w:tabs>
          <w:tab w:val="left" w:pos="2694"/>
        </w:tabs>
        <w:spacing w:line="240" w:lineRule="auto"/>
        <w:ind w:left="180" w:right="-347"/>
        <w:jc w:val="both"/>
        <w:rPr>
          <w:color w:val="000000"/>
        </w:rPr>
      </w:pPr>
      <w:r>
        <w:rPr>
          <w:b/>
          <w:bCs/>
        </w:rPr>
        <w:t>Ensure access to adequate amounts of nutritionally appropriate</w:t>
      </w:r>
      <w:r>
        <w:rPr>
          <w:b/>
          <w:bCs/>
          <w:color w:val="000000"/>
        </w:rPr>
        <w:t xml:space="preserve"> complementary foods</w:t>
      </w:r>
      <w:r>
        <w:rPr>
          <w:b/>
          <w:bCs/>
          <w:color w:val="000000"/>
          <w:vertAlign w:val="superscript"/>
        </w:rPr>
        <w:footnoteReference w:id="9"/>
      </w:r>
      <w:r>
        <w:rPr>
          <w:b/>
          <w:bCs/>
          <w:color w:val="000000"/>
        </w:rPr>
        <w:t xml:space="preserve"> alongside the information and means required to feed older infants and young children </w:t>
      </w:r>
      <w:r>
        <w:rPr>
          <w:b/>
          <w:bCs/>
        </w:rPr>
        <w:t>in line with recommendations</w:t>
      </w:r>
      <w:r>
        <w:rPr>
          <w:b/>
          <w:bCs/>
          <w:color w:val="000000"/>
        </w:rPr>
        <w:t xml:space="preserve">. </w:t>
      </w:r>
      <w:r>
        <w:rPr>
          <w:color w:val="000000"/>
        </w:rPr>
        <w:t xml:space="preserve">Ensure the availability and continuity of nutritious, fresh food and essential staples at affordable prices for children, women, caregivers and families. Where there are identified shortfalls in local access and availability of foods, facilitate access to age-appropriate complementary foods. Families should receive support on what, when and how to feed young children at home, </w:t>
      </w:r>
      <w:r>
        <w:t>including relevant hygiene and IPC considerations related to BVD</w:t>
      </w:r>
      <w:r>
        <w:rPr>
          <w:color w:val="000000"/>
        </w:rPr>
        <w:t xml:space="preserve">, </w:t>
      </w:r>
      <w:r>
        <w:t>to support continued age-appropriate feeding during illness, isolation, or disruption</w:t>
      </w:r>
      <w:r>
        <w:rPr>
          <w:color w:val="000000"/>
        </w:rPr>
        <w:t xml:space="preserve">, together with a supply of safe and potable drinking water for their young children. </w:t>
      </w:r>
    </w:p>
    <w:p w14:paraId="0EFBE61B" w14:textId="77777777" w:rsidR="000C234E" w:rsidRDefault="000C234E">
      <w:pPr>
        <w:pBdr>
          <w:top w:val="nil"/>
          <w:left w:val="nil"/>
          <w:bottom w:val="nil"/>
          <w:right w:val="nil"/>
          <w:between w:val="nil"/>
        </w:pBdr>
        <w:tabs>
          <w:tab w:val="left" w:pos="2694"/>
        </w:tabs>
        <w:spacing w:line="240" w:lineRule="auto"/>
        <w:ind w:left="720" w:right="-347"/>
        <w:jc w:val="both"/>
      </w:pPr>
    </w:p>
    <w:p w14:paraId="70B741F8" w14:textId="77777777" w:rsidR="000C234E" w:rsidRDefault="00000000">
      <w:pPr>
        <w:numPr>
          <w:ilvl w:val="0"/>
          <w:numId w:val="1"/>
        </w:numPr>
        <w:pBdr>
          <w:top w:val="nil"/>
          <w:left w:val="nil"/>
          <w:bottom w:val="nil"/>
          <w:right w:val="nil"/>
          <w:between w:val="nil"/>
        </w:pBdr>
        <w:tabs>
          <w:tab w:val="left" w:pos="2694"/>
        </w:tabs>
        <w:spacing w:line="240" w:lineRule="auto"/>
        <w:ind w:left="180" w:right="-347"/>
        <w:jc w:val="both"/>
        <w:rPr>
          <w:color w:val="000000"/>
        </w:rPr>
      </w:pPr>
      <w:r>
        <w:rPr>
          <w:b/>
          <w:bCs/>
        </w:rPr>
        <w:t xml:space="preserve">Strong triage, proactive follow-up, and prioritized support should be provided for infants, children, mothers, and primary caregivers with heightened nutritional, health, or caregiving vulnerabilities during a BVD outbreak. </w:t>
      </w:r>
      <w:r>
        <w:t xml:space="preserve">These groups include, but are not limited to, infants, mothers, and primary caregivers with suspected or confirmed BVD; acutely malnourished children, including infants under 6 months of age; primary caregivers and children with disabilities; infants exposed to HIV; orphaned infants; mothers or primary caregivers who are malnourished or severely ill; and situations where mothers or primary caregivers are separated from their children. </w:t>
      </w:r>
      <w:r>
        <w:rPr>
          <w:b/>
          <w:bCs/>
        </w:rPr>
        <w:t>Essential nutrition services, including screening, referral, follow-up, and treatment, should continue in accordance with national protocols.</w:t>
      </w:r>
    </w:p>
    <w:p w14:paraId="416AAEB8" w14:textId="77777777" w:rsidR="000C234E" w:rsidRDefault="00000000">
      <w:pPr>
        <w:shd w:val="clear" w:color="auto" w:fill="E36C09"/>
        <w:tabs>
          <w:tab w:val="left" w:pos="2694"/>
        </w:tabs>
        <w:spacing w:line="240" w:lineRule="auto"/>
        <w:ind w:right="-64"/>
        <w:jc w:val="center"/>
        <w:rPr>
          <w:b/>
          <w:bCs/>
          <w:i/>
          <w:iCs/>
          <w:color w:val="FFFFFF"/>
          <w:sz w:val="28"/>
          <w:szCs w:val="28"/>
        </w:rPr>
      </w:pPr>
      <w:r>
        <w:rPr>
          <w:b/>
          <w:bCs/>
          <w:i/>
          <w:iCs/>
          <w:color w:val="FFFFFF"/>
          <w:sz w:val="24"/>
          <w:szCs w:val="24"/>
        </w:rPr>
        <w:lastRenderedPageBreak/>
        <w:t>All actors involved in IYCF within the BVD response should ensure that staff and partners are familiar with relevant BVD and IYCF guidance and the contents of this statement.</w:t>
      </w:r>
      <w:r>
        <w:rPr>
          <w:noProof/>
        </w:rPr>
        <mc:AlternateContent>
          <mc:Choice Requires="wps">
            <w:drawing>
              <wp:anchor distT="45720" distB="45720" distL="114300" distR="114300" simplePos="0" relativeHeight="251658240" behindDoc="0" locked="0" layoutInCell="1" hidden="0" allowOverlap="1" wp14:anchorId="34BDAAC7" wp14:editId="6B4D5747">
                <wp:simplePos x="0" y="0"/>
                <wp:positionH relativeFrom="column">
                  <wp:posOffset>19051</wp:posOffset>
                </wp:positionH>
                <wp:positionV relativeFrom="paragraph">
                  <wp:posOffset>192390</wp:posOffset>
                </wp:positionV>
                <wp:extent cx="6899910" cy="1513222"/>
                <wp:effectExtent l="0" t="0" r="0" b="0"/>
                <wp:wrapTopAndBottom distT="45720" distB="45720"/>
                <wp:docPr id="2" name="Rectangle 2"/>
                <wp:cNvGraphicFramePr/>
                <a:graphic xmlns:a="http://schemas.openxmlformats.org/drawingml/2006/main">
                  <a:graphicData uri="http://schemas.microsoft.com/office/word/2010/wordprocessingShape">
                    <wps:wsp>
                      <wps:cNvSpPr/>
                      <wps:spPr>
                        <a:xfrm>
                          <a:off x="1900808" y="3124680"/>
                          <a:ext cx="6890385" cy="1310640"/>
                        </a:xfrm>
                        <a:prstGeom prst="rect">
                          <a:avLst/>
                        </a:prstGeom>
                        <a:solidFill>
                          <a:srgbClr val="C2D59B"/>
                        </a:solidFill>
                        <a:ln w="9525" cap="flat" cmpd="sng">
                          <a:solidFill>
                            <a:srgbClr val="63A537"/>
                          </a:solidFill>
                          <a:prstDash val="solid"/>
                          <a:miter lim="800000"/>
                          <a:headEnd type="none" w="sm" len="sm"/>
                          <a:tailEnd type="none" w="sm" len="sm"/>
                        </a:ln>
                      </wps:spPr>
                      <wps:txbx>
                        <w:txbxContent>
                          <w:p w14:paraId="4BA2250F" w14:textId="77777777" w:rsidR="000C234E" w:rsidRDefault="00000000">
                            <w:pPr>
                              <w:spacing w:line="240" w:lineRule="auto"/>
                              <w:textDirection w:val="btLr"/>
                            </w:pPr>
                            <w:r>
                              <w:rPr>
                                <w:b/>
                                <w:color w:val="000000"/>
                                <w:sz w:val="20"/>
                              </w:rPr>
                              <w:t>Resources:</w:t>
                            </w:r>
                          </w:p>
                          <w:p w14:paraId="267498C0" w14:textId="77777777" w:rsidR="000C234E" w:rsidRDefault="00000000">
                            <w:pPr>
                              <w:spacing w:line="240" w:lineRule="auto"/>
                              <w:textDirection w:val="btLr"/>
                            </w:pPr>
                            <w:r>
                              <w:rPr>
                                <w:b/>
                                <w:color w:val="000000"/>
                                <w:sz w:val="20"/>
                              </w:rPr>
                              <w:t xml:space="preserve">Up-to-date resources can be found in the Ebola and IYCF collection at the IYCF Hub: </w:t>
                            </w:r>
                            <w:r>
                              <w:rPr>
                                <w:b/>
                                <w:color w:val="0000FF"/>
                                <w:sz w:val="20"/>
                                <w:u w:val="single"/>
                              </w:rPr>
                              <w:t>https://iycfehub.org/</w:t>
                            </w:r>
                          </w:p>
                          <w:p w14:paraId="6214D198" w14:textId="77777777" w:rsidR="000C234E" w:rsidRDefault="000C234E">
                            <w:pPr>
                              <w:spacing w:line="240" w:lineRule="auto"/>
                              <w:textDirection w:val="btLr"/>
                            </w:pPr>
                          </w:p>
                          <w:p w14:paraId="53B997DF" w14:textId="77777777" w:rsidR="000C234E" w:rsidRDefault="00000000">
                            <w:pPr>
                              <w:spacing w:after="160" w:line="258" w:lineRule="auto"/>
                              <w:textDirection w:val="btLr"/>
                            </w:pPr>
                            <w:r>
                              <w:rPr>
                                <w:color w:val="000000"/>
                                <w:sz w:val="20"/>
                              </w:rPr>
                              <w:t xml:space="preserve">If you have </w:t>
                            </w:r>
                            <w:r>
                              <w:rPr>
                                <w:b/>
                                <w:color w:val="000000"/>
                                <w:sz w:val="20"/>
                                <w:u w:val="single"/>
                              </w:rPr>
                              <w:t>particular questions about IYCF in the context of BVD  or require support</w:t>
                            </w:r>
                            <w:r>
                              <w:rPr>
                                <w:b/>
                                <w:color w:val="000000"/>
                                <w:sz w:val="20"/>
                              </w:rPr>
                              <w:t>,</w:t>
                            </w:r>
                            <w:r>
                              <w:rPr>
                                <w:color w:val="000000"/>
                                <w:sz w:val="20"/>
                              </w:rPr>
                              <w:t xml:space="preserve"> please contact the Global Nutrition Cluster Nutrition in Emergencies Help Desk at </w:t>
                            </w:r>
                            <w:r>
                              <w:rPr>
                                <w:color w:val="0000FF"/>
                                <w:sz w:val="20"/>
                                <w:u w:val="single"/>
                              </w:rPr>
                              <w:t>https://www.nutritioncluster.net/</w:t>
                            </w:r>
                            <w:r>
                              <w:rPr>
                                <w:color w:val="000000"/>
                                <w:sz w:val="20"/>
                              </w:rPr>
                              <w:t xml:space="preserve"> or post your questions on en-net’s discussion forum on Nutrition Programming and MVD:  </w:t>
                            </w:r>
                            <w:r>
                              <w:rPr>
                                <w:color w:val="0000FF"/>
                                <w:sz w:val="20"/>
                                <w:u w:val="single"/>
                              </w:rPr>
                              <w:t>https://www.en-net.org/forum</w:t>
                            </w:r>
                          </w:p>
                          <w:p w14:paraId="1204362F" w14:textId="77777777" w:rsidR="000C234E" w:rsidRDefault="000C234E">
                            <w:pPr>
                              <w:spacing w:line="240" w:lineRule="auto"/>
                              <w:textDirection w:val="btLr"/>
                            </w:pPr>
                          </w:p>
                          <w:p w14:paraId="469F5954" w14:textId="77777777" w:rsidR="000C234E" w:rsidRDefault="000C234E">
                            <w:pPr>
                              <w:spacing w:line="240" w:lineRule="auto"/>
                              <w:textDirection w:val="btLr"/>
                            </w:pPr>
                          </w:p>
                          <w:p w14:paraId="6A32C474" w14:textId="77777777" w:rsidR="000C234E" w:rsidRDefault="000C234E">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34BDAAC7" id="Rectangle 2" o:spid="_x0000_s1027" style="position:absolute;left:0;text-align:left;margin-left:1.5pt;margin-top:15.15pt;width:543.3pt;height:119.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" fillcolor="#c2d59b" strokecolor="#63a537">
                <v:stroke startarrowwidth="narrow" startarrowlength="short" endarrowwidth="narrow" endarrowlength="short"/>
                <v:textbox inset="2.53958mm,1.2694mm,2.53958mm,1.2694mm">
                  <w:txbxContent>
                    <w:p w14:paraId="4BA2250F" w14:textId="77777777" w:rsidR="000C234E" w:rsidRDefault="00000000">
                      <w:pPr>
                        <w:spacing w:line="240" w:lineRule="auto"/>
                        <w:textDirection w:val="btLr"/>
                      </w:pPr>
                      <w:r>
                        <w:rPr>
                          <w:b/>
                          <w:color w:val="000000"/>
                          <w:sz w:val="20"/>
                        </w:rPr>
                        <w:t>Resources:</w:t>
                      </w:r>
                    </w:p>
                    <w:p w14:paraId="267498C0" w14:textId="77777777" w:rsidR="000C234E" w:rsidRDefault="00000000">
                      <w:pPr>
                        <w:spacing w:line="240" w:lineRule="auto"/>
                        <w:textDirection w:val="btLr"/>
                      </w:pPr>
                      <w:r>
                        <w:rPr>
                          <w:b/>
                          <w:color w:val="000000"/>
                          <w:sz w:val="20"/>
                        </w:rPr>
                        <w:t xml:space="preserve">Up-to-date resources can be found in the Ebola and IYCF collection at the IYCF Hub: </w:t>
                      </w:r>
                      <w:r>
                        <w:rPr>
                          <w:b/>
                          <w:color w:val="0000FF"/>
                          <w:sz w:val="20"/>
                          <w:u w:val="single"/>
                        </w:rPr>
                        <w:t>https://iycfehub.org/</w:t>
                      </w:r>
                    </w:p>
                    <w:p w14:paraId="6214D198" w14:textId="77777777" w:rsidR="000C234E" w:rsidRDefault="000C234E">
                      <w:pPr>
                        <w:spacing w:line="240" w:lineRule="auto"/>
                        <w:textDirection w:val="btLr"/>
                      </w:pPr>
                    </w:p>
                    <w:p w14:paraId="53B997DF" w14:textId="77777777" w:rsidR="000C234E" w:rsidRDefault="00000000">
                      <w:pPr>
                        <w:spacing w:after="160" w:line="258" w:lineRule="auto"/>
                        <w:textDirection w:val="btLr"/>
                      </w:pPr>
                      <w:r>
                        <w:rPr>
                          <w:color w:val="000000"/>
                          <w:sz w:val="20"/>
                        </w:rPr>
                        <w:t xml:space="preserve">If you have </w:t>
                      </w:r>
                      <w:r>
                        <w:rPr>
                          <w:b/>
                          <w:color w:val="000000"/>
                          <w:sz w:val="20"/>
                          <w:u w:val="single"/>
                        </w:rPr>
                        <w:t>particular questions about IYCF in the context of BVD  or require support</w:t>
                      </w:r>
                      <w:r>
                        <w:rPr>
                          <w:b/>
                          <w:color w:val="000000"/>
                          <w:sz w:val="20"/>
                        </w:rPr>
                        <w:t>,</w:t>
                      </w:r>
                      <w:r>
                        <w:rPr>
                          <w:color w:val="000000"/>
                          <w:sz w:val="20"/>
                        </w:rPr>
                        <w:t xml:space="preserve"> please contact the Global Nutrition Cluster Nutrition in Emergencies Help Desk at </w:t>
                      </w:r>
                      <w:r>
                        <w:rPr>
                          <w:color w:val="0000FF"/>
                          <w:sz w:val="20"/>
                          <w:u w:val="single"/>
                        </w:rPr>
                        <w:t>https://www.nutritioncluster.net/</w:t>
                      </w:r>
                      <w:r>
                        <w:rPr>
                          <w:color w:val="000000"/>
                          <w:sz w:val="20"/>
                        </w:rPr>
                        <w:t xml:space="preserve"> or post your questions on en-net’s discussion forum on Nutrition Programming and MVD:  </w:t>
                      </w:r>
                      <w:r>
                        <w:rPr>
                          <w:color w:val="0000FF"/>
                          <w:sz w:val="20"/>
                          <w:u w:val="single"/>
                        </w:rPr>
                        <w:t>https://www.en-net.org/forum</w:t>
                      </w:r>
                    </w:p>
                    <w:p w14:paraId="1204362F" w14:textId="77777777" w:rsidR="000C234E" w:rsidRDefault="000C234E">
                      <w:pPr>
                        <w:spacing w:line="240" w:lineRule="auto"/>
                        <w:textDirection w:val="btLr"/>
                      </w:pPr>
                    </w:p>
                    <w:p w14:paraId="469F5954" w14:textId="77777777" w:rsidR="000C234E" w:rsidRDefault="000C234E">
                      <w:pPr>
                        <w:spacing w:line="240" w:lineRule="auto"/>
                        <w:textDirection w:val="btLr"/>
                      </w:pPr>
                    </w:p>
                    <w:p w14:paraId="6A32C474" w14:textId="77777777" w:rsidR="000C234E" w:rsidRDefault="000C234E">
                      <w:pPr>
                        <w:spacing w:line="240" w:lineRule="auto"/>
                        <w:textDirection w:val="btLr"/>
                      </w:pPr>
                    </w:p>
                  </w:txbxContent>
                </v:textbox>
                <w10:wrap type="topAndBottom"/>
              </v:rect>
            </w:pict>
          </mc:Fallback>
        </mc:AlternateContent>
      </w:r>
      <w:r>
        <w:rPr>
          <w:noProof/>
        </w:rPr>
        <mc:AlternateContent>
          <mc:Choice Requires="wps">
            <w:drawing>
              <wp:anchor distT="0" distB="0" distL="114300" distR="114300" simplePos="0" relativeHeight="251659264" behindDoc="0" locked="0" layoutInCell="1" hidden="0" allowOverlap="1" wp14:anchorId="111A2779" wp14:editId="3368F6FE">
                <wp:simplePos x="0" y="0"/>
                <wp:positionH relativeFrom="column">
                  <wp:posOffset>-28574</wp:posOffset>
                </wp:positionH>
                <wp:positionV relativeFrom="paragraph">
                  <wp:posOffset>2371725</wp:posOffset>
                </wp:positionV>
                <wp:extent cx="6915785" cy="34036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1900808" y="3622520"/>
                          <a:ext cx="6890385" cy="314960"/>
                        </a:xfrm>
                        <a:prstGeom prst="rect">
                          <a:avLst/>
                        </a:prstGeom>
                        <a:solidFill>
                          <a:schemeClr val="lt1"/>
                        </a:solidFill>
                        <a:ln w="25400" cap="flat" cmpd="sng">
                          <a:solidFill>
                            <a:srgbClr val="E36C09"/>
                          </a:solidFill>
                          <a:prstDash val="solid"/>
                          <a:round/>
                          <a:headEnd type="none" w="sm" len="sm"/>
                          <a:tailEnd type="none" w="sm" len="sm"/>
                        </a:ln>
                      </wps:spPr>
                      <wps:txbx>
                        <w:txbxContent>
                          <w:p w14:paraId="0DFDB9A3" w14:textId="77777777" w:rsidR="000C234E" w:rsidRDefault="00000000">
                            <w:pPr>
                              <w:spacing w:line="240" w:lineRule="auto"/>
                              <w:textDirection w:val="btLr"/>
                            </w:pPr>
                            <w:r>
                              <w:rPr>
                                <w:rFonts w:ascii="Calibri" w:eastAsia="Calibri" w:hAnsi="Calibri" w:cs="Calibri"/>
                                <w:color w:val="000000"/>
                                <w:sz w:val="20"/>
                                <w:u w:val="single"/>
                              </w:rPr>
                              <w:t xml:space="preserve">Contact    </w:t>
                            </w:r>
                            <w:r>
                              <w:rPr>
                                <w:rFonts w:ascii="Calibri" w:eastAsia="Calibri" w:hAnsi="Calibri" w:cs="Calibri"/>
                                <w:i/>
                                <w:color w:val="000000"/>
                                <w:sz w:val="20"/>
                                <w:u w:val="single"/>
                              </w:rPr>
                              <w:t>[</w:t>
                            </w:r>
                            <w:r>
                              <w:rPr>
                                <w:rFonts w:ascii="Calibri" w:eastAsia="Calibri" w:hAnsi="Calibri" w:cs="Calibri"/>
                                <w:i/>
                                <w:color w:val="4F6228"/>
                                <w:sz w:val="16"/>
                              </w:rPr>
                              <w:t>COUNTRIES: ENTER LOCAL COORDINATION OR NUTRITION CLUSTER/SECTOR CONTACT DETAILS]</w:t>
                            </w:r>
                          </w:p>
                        </w:txbxContent>
                      </wps:txbx>
                      <wps:bodyPr spcFirstLastPara="1" wrap="square" lIns="91425" tIns="45700" rIns="91425" bIns="45700" anchor="t" anchorCtr="0">
                        <a:noAutofit/>
                      </wps:bodyPr>
                    </wps:wsp>
                  </a:graphicData>
                </a:graphic>
              </wp:anchor>
            </w:drawing>
          </mc:Choice>
          <mc:Fallback>
            <w:pict>
              <v:rect w14:anchorId="111A2779" id="Rectangle 1" o:spid="_x0000_s1028" style="position:absolute;left:0;text-align:left;margin-left:-2.25pt;margin-top:186.75pt;width:544.55pt;height:26.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" fillcolor="white [3201]" strokecolor="#e36c09" strokeweight="2pt">
                <v:stroke startarrowwidth="narrow" startarrowlength="short" endarrowwidth="narrow" endarrowlength="short" joinstyle="round"/>
                <v:textbox inset="2.53958mm,1.2694mm,2.53958mm,1.2694mm">
                  <w:txbxContent>
                    <w:p w14:paraId="0DFDB9A3" w14:textId="77777777" w:rsidR="000C234E" w:rsidRDefault="00000000">
                      <w:pPr>
                        <w:spacing w:line="240" w:lineRule="auto"/>
                        <w:textDirection w:val="btLr"/>
                      </w:pPr>
                      <w:r>
                        <w:rPr>
                          <w:rFonts w:ascii="Calibri" w:eastAsia="Calibri" w:hAnsi="Calibri" w:cs="Calibri"/>
                          <w:color w:val="000000"/>
                          <w:sz w:val="20"/>
                          <w:u w:val="single"/>
                        </w:rPr>
                        <w:t xml:space="preserve">Contact    </w:t>
                      </w:r>
                      <w:r>
                        <w:rPr>
                          <w:rFonts w:ascii="Calibri" w:eastAsia="Calibri" w:hAnsi="Calibri" w:cs="Calibri"/>
                          <w:i/>
                          <w:color w:val="000000"/>
                          <w:sz w:val="20"/>
                          <w:u w:val="single"/>
                        </w:rPr>
                        <w:t>[</w:t>
                      </w:r>
                      <w:r>
                        <w:rPr>
                          <w:rFonts w:ascii="Calibri" w:eastAsia="Calibri" w:hAnsi="Calibri" w:cs="Calibri"/>
                          <w:i/>
                          <w:color w:val="4F6228"/>
                          <w:sz w:val="16"/>
                        </w:rPr>
                        <w:t>COUNTRIES: ENTER LOCAL COORDINATION OR NUTRITION CLUSTER/SECTOR CONTACT DETAILS]</w:t>
                      </w:r>
                    </w:p>
                  </w:txbxContent>
                </v:textbox>
                <w10:wrap type="square"/>
              </v:rect>
            </w:pict>
          </mc:Fallback>
        </mc:AlternateContent>
      </w:r>
    </w:p>
    <w:sectPr w:rsidR="000C234E">
      <w:type w:val="continuous"/>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5AB58" w14:textId="77777777" w:rsidR="001D01A9" w:rsidRDefault="001D01A9">
      <w:pPr>
        <w:spacing w:line="240" w:lineRule="auto"/>
      </w:pPr>
      <w:r>
        <w:separator/>
      </w:r>
    </w:p>
  </w:endnote>
  <w:endnote w:type="continuationSeparator" w:id="0">
    <w:p w14:paraId="2C18822C" w14:textId="77777777" w:rsidR="001D01A9" w:rsidRDefault="001D01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9D3069F-3746-4FC9-BDFB-BDF5E371AECF}"/>
    <w:embedBold r:id="rId2" w:fontKey="{78B4D019-7709-47A7-9A81-CFCA9284746D}"/>
    <w:embedItalic r:id="rId3" w:fontKey="{4536ABBC-2A88-45CF-BD0B-48ACF934D0FB}"/>
  </w:font>
  <w:font w:name="Cambria">
    <w:panose1 w:val="02040503050406030204"/>
    <w:charset w:val="00"/>
    <w:family w:val="roman"/>
    <w:pitch w:val="variable"/>
    <w:sig w:usb0="E00006FF" w:usb1="420024FF" w:usb2="02000000" w:usb3="00000000" w:csb0="0000019F" w:csb1="00000000"/>
    <w:embedRegular r:id="rId4" w:fontKey="{36394D1B-0B87-41A3-92CF-8624E1EFD9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BA35D" w14:textId="77777777" w:rsidR="000C234E" w:rsidRDefault="000C234E">
    <w:pPr>
      <w:pBdr>
        <w:top w:val="nil"/>
        <w:left w:val="nil"/>
        <w:bottom w:val="nil"/>
        <w:right w:val="nil"/>
        <w:between w:val="nil"/>
      </w:pBdr>
      <w:tabs>
        <w:tab w:val="center" w:pos="4680"/>
        <w:tab w:val="right" w:pos="9360"/>
      </w:tabs>
      <w:spacing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17369" w14:textId="77777777" w:rsidR="001D01A9" w:rsidRDefault="001D01A9">
      <w:pPr>
        <w:spacing w:line="240" w:lineRule="auto"/>
      </w:pPr>
      <w:r>
        <w:separator/>
      </w:r>
    </w:p>
  </w:footnote>
  <w:footnote w:type="continuationSeparator" w:id="0">
    <w:p w14:paraId="42B70053" w14:textId="77777777" w:rsidR="001D01A9" w:rsidRDefault="001D01A9">
      <w:pPr>
        <w:spacing w:line="240" w:lineRule="auto"/>
      </w:pPr>
      <w:r>
        <w:continuationSeparator/>
      </w:r>
    </w:p>
  </w:footnote>
  <w:footnote w:id="1">
    <w:p w14:paraId="11C487D8" w14:textId="77777777" w:rsidR="000C234E" w:rsidRDefault="00000000">
      <w:pPr>
        <w:pBdr>
          <w:top w:val="nil"/>
          <w:left w:val="nil"/>
          <w:bottom w:val="nil"/>
          <w:right w:val="nil"/>
          <w:between w:val="nil"/>
        </w:pBdr>
        <w:spacing w:line="240" w:lineRule="auto"/>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National clusters, please adapt to the local context where indicated but retain the relevant and important information within the document. Remove instructions in brackets when contextualizing.</w:t>
      </w:r>
    </w:p>
  </w:footnote>
  <w:footnote w:id="2">
    <w:p w14:paraId="3B9C3213" w14:textId="77777777" w:rsidR="000C234E" w:rsidRDefault="00000000">
      <w:pPr>
        <w:pBdr>
          <w:top w:val="nil"/>
          <w:left w:val="nil"/>
          <w:bottom w:val="nil"/>
          <w:right w:val="nil"/>
          <w:between w:val="nil"/>
        </w:pBdr>
        <w:spacing w:line="240"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16"/>
          <w:szCs w:val="16"/>
        </w:rPr>
        <w:t xml:space="preserve"> The template of this Joint Statement on Infant and Young Child Feeding (IYCF) in the Context of Bundibugyo Virus Disease (BVD)</w:t>
      </w:r>
      <w:r>
        <w:rPr>
          <w:rFonts w:ascii="Calibri" w:eastAsia="Calibri" w:hAnsi="Calibri" w:cs="Calibri"/>
          <w:b/>
          <w:bCs/>
          <w:color w:val="000000"/>
          <w:sz w:val="16"/>
          <w:szCs w:val="16"/>
        </w:rPr>
        <w:t xml:space="preserve"> </w:t>
      </w:r>
      <w:r>
        <w:rPr>
          <w:rFonts w:ascii="Calibri" w:eastAsia="Calibri" w:hAnsi="Calibri" w:cs="Calibri"/>
          <w:color w:val="000000"/>
          <w:sz w:val="16"/>
          <w:szCs w:val="16"/>
        </w:rPr>
        <w:t xml:space="preserve">includes a consolidation of available recommendations related to IYCF in the context of </w:t>
      </w:r>
      <w:r>
        <w:rPr>
          <w:sz w:val="16"/>
          <w:szCs w:val="16"/>
        </w:rPr>
        <w:t>Ebola</w:t>
      </w:r>
      <w:r>
        <w:rPr>
          <w:rFonts w:ascii="Calibri" w:eastAsia="Calibri" w:hAnsi="Calibri" w:cs="Calibri"/>
          <w:color w:val="000000"/>
          <w:sz w:val="16"/>
          <w:szCs w:val="16"/>
        </w:rPr>
        <w:t xml:space="preserve">. It is to be adapted by countries or nutrition clusters and to be issued at the national level. It was developed by the Infant Feeding in Emergencies (IFE) Core Group </w:t>
      </w:r>
      <w:r>
        <w:rPr>
          <w:sz w:val="16"/>
          <w:szCs w:val="16"/>
        </w:rPr>
        <w:t>Infectious</w:t>
      </w:r>
      <w:r>
        <w:rPr>
          <w:rFonts w:ascii="Calibri" w:eastAsia="Calibri" w:hAnsi="Calibri" w:cs="Calibri"/>
          <w:color w:val="000000"/>
          <w:sz w:val="16"/>
          <w:szCs w:val="16"/>
        </w:rPr>
        <w:t xml:space="preserve"> Disease Taskforce in coordination with the Global Nutrition Cluster (GNC). It is important that this Joint Statement is accompanied by relevant resources and guidance available on the IYCFE Resource Hub </w:t>
      </w:r>
      <w:r>
        <w:rPr>
          <w:sz w:val="16"/>
          <w:szCs w:val="16"/>
        </w:rPr>
        <w:t>Ebola</w:t>
      </w:r>
      <w:r>
        <w:rPr>
          <w:rFonts w:ascii="Calibri" w:eastAsia="Calibri" w:hAnsi="Calibri" w:cs="Calibri"/>
          <w:color w:val="000000"/>
          <w:sz w:val="16"/>
          <w:szCs w:val="16"/>
        </w:rPr>
        <w:t xml:space="preserve"> and IYCFE Collection https://iycfehub.org/</w:t>
      </w:r>
    </w:p>
  </w:footnote>
  <w:footnote w:id="3">
    <w:p w14:paraId="7239DD1D" w14:textId="77777777" w:rsidR="000C234E" w:rsidRDefault="00000000">
      <w:pPr>
        <w:spacing w:line="240" w:lineRule="auto"/>
        <w:rPr>
          <w:sz w:val="16"/>
          <w:szCs w:val="16"/>
        </w:rPr>
      </w:pPr>
      <w:r>
        <w:rPr>
          <w:vertAlign w:val="superscript"/>
        </w:rPr>
        <w:footnoteRef/>
      </w:r>
      <w:r>
        <w:rPr>
          <w:sz w:val="20"/>
          <w:szCs w:val="20"/>
        </w:rPr>
        <w:t xml:space="preserve"> </w:t>
      </w:r>
      <w:r>
        <w:rPr>
          <w:sz w:val="16"/>
          <w:szCs w:val="16"/>
        </w:rPr>
        <w:t>WHO Guidelines for the management of pregnant and breastfeeding women in the context of EVD https://www.who.int/publications/i/item/9789240001381</w:t>
      </w:r>
    </w:p>
  </w:footnote>
  <w:footnote w:id="4">
    <w:p w14:paraId="30E4960D" w14:textId="77777777" w:rsidR="000C234E" w:rsidRDefault="00000000">
      <w:pPr>
        <w:spacing w:line="240" w:lineRule="auto"/>
        <w:rPr>
          <w:sz w:val="16"/>
          <w:szCs w:val="16"/>
        </w:rPr>
      </w:pPr>
      <w:r>
        <w:rPr>
          <w:vertAlign w:val="superscript"/>
        </w:rPr>
        <w:footnoteRef/>
      </w:r>
      <w:r>
        <w:rPr>
          <w:sz w:val="20"/>
          <w:szCs w:val="20"/>
        </w:rPr>
        <w:t xml:space="preserve"> </w:t>
      </w:r>
      <w:r>
        <w:rPr>
          <w:sz w:val="16"/>
          <w:szCs w:val="16"/>
        </w:rPr>
        <w:t>Global Nutrition Cluster FAQ on Ebola and Nutrition: https://iycfehub.org/document/frequently-asked-questions-on-nutrition-and-ebola-virus-disease-series/</w:t>
      </w:r>
    </w:p>
  </w:footnote>
  <w:footnote w:id="5">
    <w:p w14:paraId="4C5D3595" w14:textId="77777777" w:rsidR="000C234E" w:rsidRDefault="00000000">
      <w:pPr>
        <w:spacing w:line="240" w:lineRule="auto"/>
        <w:rPr>
          <w:sz w:val="16"/>
          <w:szCs w:val="16"/>
        </w:rPr>
      </w:pPr>
      <w:r>
        <w:rPr>
          <w:vertAlign w:val="superscript"/>
        </w:rPr>
        <w:footnoteRef/>
      </w:r>
      <w:r>
        <w:rPr>
          <w:sz w:val="20"/>
          <w:szCs w:val="20"/>
        </w:rPr>
        <w:t xml:space="preserve"> </w:t>
      </w:r>
      <w:r>
        <w:rPr>
          <w:sz w:val="16"/>
          <w:szCs w:val="16"/>
        </w:rPr>
        <w:t>Operational Guidance on Infant Feeding in Emergencies (OG-IFE) version 3.0 (ENN, IFE Core Group: 2017) https://www.ennonline.net/resource/ife/operational-guidance-infant-feeding-emergencies-og-ife-version-30-oct-2017</w:t>
      </w:r>
    </w:p>
  </w:footnote>
  <w:footnote w:id="6">
    <w:p w14:paraId="2EDD6C32" w14:textId="77777777" w:rsidR="000C234E" w:rsidRDefault="00000000">
      <w:pPr>
        <w:spacing w:line="240" w:lineRule="auto"/>
        <w:rPr>
          <w:sz w:val="16"/>
          <w:szCs w:val="16"/>
        </w:rPr>
      </w:pPr>
      <w:r>
        <w:rPr>
          <w:vertAlign w:val="superscript"/>
        </w:rPr>
        <w:footnoteRef/>
      </w:r>
      <w:r>
        <w:rPr>
          <w:sz w:val="20"/>
          <w:szCs w:val="20"/>
        </w:rPr>
        <w:t xml:space="preserve"> </w:t>
      </w:r>
      <w:r>
        <w:rPr>
          <w:sz w:val="16"/>
          <w:szCs w:val="16"/>
        </w:rPr>
        <w:t xml:space="preserve">Operational Guidance for Breastfeeding Counselling in Emergencies (UNICEF, IFE Core Group, ENN:  </w:t>
      </w:r>
      <w:proofErr w:type="gramStart"/>
      <w:r>
        <w:rPr>
          <w:sz w:val="16"/>
          <w:szCs w:val="16"/>
        </w:rPr>
        <w:t>2021)https://iycfehub.org/document/operational-guidance-breastfeeding-counselling-in-emergencies/</w:t>
      </w:r>
      <w:proofErr w:type="gramEnd"/>
    </w:p>
  </w:footnote>
  <w:footnote w:id="7">
    <w:p w14:paraId="7F8C968C" w14:textId="77777777" w:rsidR="000C234E" w:rsidRDefault="00000000">
      <w:pPr>
        <w:spacing w:line="240" w:lineRule="auto"/>
        <w:rPr>
          <w:sz w:val="16"/>
          <w:szCs w:val="16"/>
        </w:rPr>
      </w:pPr>
      <w:r>
        <w:rPr>
          <w:vertAlign w:val="superscript"/>
        </w:rPr>
        <w:footnoteRef/>
      </w:r>
      <w:r>
        <w:rPr>
          <w:sz w:val="20"/>
          <w:szCs w:val="20"/>
        </w:rPr>
        <w:t xml:space="preserve"> </w:t>
      </w:r>
      <w:r>
        <w:rPr>
          <w:sz w:val="16"/>
          <w:szCs w:val="16"/>
        </w:rPr>
        <w:t>SPHERE 2018: https://spherestandards.org/handbook-2018/</w:t>
      </w:r>
    </w:p>
  </w:footnote>
  <w:footnote w:id="8">
    <w:p w14:paraId="4F7877A3" w14:textId="77777777" w:rsidR="000C234E" w:rsidRDefault="00000000">
      <w:pPr>
        <w:spacing w:line="240" w:lineRule="auto"/>
        <w:rPr>
          <w:sz w:val="16"/>
          <w:szCs w:val="16"/>
        </w:rPr>
      </w:pPr>
      <w:r>
        <w:rPr>
          <w:vertAlign w:val="superscript"/>
        </w:rPr>
        <w:footnoteRef/>
      </w:r>
      <w:r>
        <w:rPr>
          <w:sz w:val="20"/>
          <w:szCs w:val="20"/>
        </w:rPr>
        <w:t xml:space="preserve"> </w:t>
      </w:r>
      <w:r>
        <w:rPr>
          <w:sz w:val="16"/>
          <w:szCs w:val="16"/>
        </w:rPr>
        <w:t xml:space="preserve">More information on the Code found at: </w:t>
      </w:r>
      <w:hyperlink r:id="rId1">
        <w:r w:rsidR="000C234E">
          <w:rPr>
            <w:color w:val="1155CC"/>
            <w:sz w:val="16"/>
            <w:szCs w:val="16"/>
            <w:u w:val="single"/>
          </w:rPr>
          <w:t>https://www.who.int/tools/elena/interventions/regulation-breast-milk-substitutes</w:t>
        </w:r>
      </w:hyperlink>
      <w:r>
        <w:rPr>
          <w:sz w:val="16"/>
          <w:szCs w:val="16"/>
        </w:rPr>
        <w:t xml:space="preserve"> and </w:t>
      </w:r>
      <w:hyperlink r:id="rId2">
        <w:r w:rsidR="000C234E">
          <w:rPr>
            <w:color w:val="1155CC"/>
            <w:sz w:val="16"/>
            <w:szCs w:val="16"/>
            <w:u w:val="single"/>
          </w:rPr>
          <w:t>https://www.globalbreastfeedingcollective.org/what-i-should-know-about-code</w:t>
        </w:r>
      </w:hyperlink>
      <w:r>
        <w:rPr>
          <w:sz w:val="16"/>
          <w:szCs w:val="16"/>
        </w:rPr>
        <w:t xml:space="preserve"> </w:t>
      </w:r>
    </w:p>
  </w:footnote>
  <w:footnote w:id="9">
    <w:p w14:paraId="5B928EF1" w14:textId="77777777" w:rsidR="000C234E" w:rsidRDefault="00000000">
      <w:pPr>
        <w:pBdr>
          <w:top w:val="nil"/>
          <w:left w:val="nil"/>
          <w:bottom w:val="nil"/>
          <w:right w:val="nil"/>
          <w:between w:val="nil"/>
        </w:pBdr>
        <w:spacing w:line="240"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16"/>
          <w:szCs w:val="16"/>
        </w:rPr>
        <w:t xml:space="preserve"> Any food industrially produced or </w:t>
      </w:r>
      <w:proofErr w:type="gramStart"/>
      <w:r>
        <w:rPr>
          <w:rFonts w:ascii="Calibri" w:eastAsia="Calibri" w:hAnsi="Calibri" w:cs="Calibri"/>
          <w:color w:val="000000"/>
          <w:sz w:val="16"/>
          <w:szCs w:val="16"/>
        </w:rPr>
        <w:t>locally-prepared</w:t>
      </w:r>
      <w:proofErr w:type="gramEnd"/>
      <w:r>
        <w:rPr>
          <w:rFonts w:ascii="Calibri" w:eastAsia="Calibri" w:hAnsi="Calibri" w:cs="Calibri"/>
          <w:color w:val="000000"/>
          <w:sz w:val="16"/>
          <w:szCs w:val="16"/>
        </w:rPr>
        <w:t>, suitable as a complement to breastmilk or commercial infant formula, introduced after 6 completed months of age.</w:t>
      </w:r>
      <w:r>
        <w:rPr>
          <w:rFonts w:ascii="Calibri" w:eastAsia="Calibri" w:hAnsi="Calibri" w:cs="Calibri"/>
          <w:color w:val="000000"/>
          <w:sz w:val="20"/>
          <w:szCs w:val="20"/>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00696" w14:textId="6C7FB227" w:rsidR="000C234E" w:rsidRDefault="00000000">
    <w:pPr>
      <w:pBdr>
        <w:top w:val="nil"/>
        <w:left w:val="nil"/>
        <w:bottom w:val="nil"/>
        <w:right w:val="nil"/>
        <w:between w:val="nil"/>
      </w:pBdr>
      <w:tabs>
        <w:tab w:val="center" w:pos="4680"/>
        <w:tab w:val="right" w:pos="9360"/>
      </w:tabs>
      <w:spacing w:line="240" w:lineRule="auto"/>
      <w:rPr>
        <w:rFonts w:ascii="Calibri" w:eastAsia="Calibri" w:hAnsi="Calibri" w:cs="Calibri"/>
        <w:color w:val="000000"/>
      </w:rPr>
    </w:pPr>
    <w:r>
      <w:rPr>
        <w:rFonts w:ascii="Calibri" w:eastAsia="Calibri" w:hAnsi="Calibri" w:cs="Calibri"/>
        <w:noProof/>
        <w:color w:val="000000"/>
      </w:rPr>
      <w:drawing>
        <wp:anchor distT="0" distB="0" distL="114300" distR="114300" simplePos="0" relativeHeight="251658240" behindDoc="0" locked="0" layoutInCell="1" hidden="0" allowOverlap="1" wp14:anchorId="27D06966" wp14:editId="79E26ED0">
          <wp:simplePos x="0" y="0"/>
          <wp:positionH relativeFrom="margin">
            <wp:posOffset>5151392</wp:posOffset>
          </wp:positionH>
          <wp:positionV relativeFrom="page">
            <wp:posOffset>171450</wp:posOffset>
          </wp:positionV>
          <wp:extent cx="1355090" cy="475615"/>
          <wp:effectExtent l="0" t="0" r="0" b="0"/>
          <wp:wrapTopAndBottom distT="0" distB="0"/>
          <wp:docPr id="4" name="image1.png" descr="A green and grey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grey text on a black background&#10;&#10;Description automatically generated"/>
                  <pic:cNvPicPr preferRelativeResize="0"/>
                </pic:nvPicPr>
                <pic:blipFill>
                  <a:blip r:embed="rId1"/>
                  <a:srcRect/>
                  <a:stretch>
                    <a:fillRect/>
                  </a:stretch>
                </pic:blipFill>
                <pic:spPr>
                  <a:xfrm>
                    <a:off x="0" y="0"/>
                    <a:ext cx="1355090" cy="47561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14901C6C" wp14:editId="779F2809">
              <wp:simplePos x="0" y="0"/>
              <wp:positionH relativeFrom="column">
                <wp:posOffset>-976311</wp:posOffset>
              </wp:positionH>
              <wp:positionV relativeFrom="paragraph">
                <wp:posOffset>-486997</wp:posOffset>
              </wp:positionV>
              <wp:extent cx="7737475" cy="689247"/>
              <wp:effectExtent l="0" t="0" r="0" b="0"/>
              <wp:wrapNone/>
              <wp:docPr id="3" name="Rectangle 3"/>
              <wp:cNvGraphicFramePr/>
              <a:graphic xmlns:a="http://schemas.openxmlformats.org/drawingml/2006/main">
                <a:graphicData uri="http://schemas.microsoft.com/office/word/2010/wordprocessingShape">
                  <wps:wsp>
                    <wps:cNvSpPr/>
                    <wps:spPr>
                      <a:xfrm>
                        <a:off x="1482025" y="3440139"/>
                        <a:ext cx="7727950" cy="679722"/>
                      </a:xfrm>
                      <a:prstGeom prst="rect">
                        <a:avLst/>
                      </a:prstGeom>
                      <a:solidFill>
                        <a:schemeClr val="lt1"/>
                      </a:solidFill>
                      <a:ln>
                        <a:noFill/>
                      </a:ln>
                    </wps:spPr>
                    <wps:txbx>
                      <w:txbxContent>
                        <w:p w14:paraId="515A5B5F" w14:textId="46021FA7" w:rsidR="000C234E" w:rsidRDefault="000C234E">
                          <w:pPr>
                            <w:spacing w:before="240" w:after="160" w:line="258" w:lineRule="auto"/>
                            <w:ind w:left="720" w:right="1350" w:firstLine="1440"/>
                            <w:textDirection w:val="btLr"/>
                          </w:pPr>
                        </w:p>
                      </w:txbxContent>
                    </wps:txbx>
                    <wps:bodyPr spcFirstLastPara="1" wrap="square" lIns="91425" tIns="45700" rIns="91425" bIns="45700" anchor="ctr" anchorCtr="0">
                      <a:noAutofit/>
                    </wps:bodyPr>
                  </wps:wsp>
                </a:graphicData>
              </a:graphic>
            </wp:anchor>
          </w:drawing>
        </mc:Choice>
        <mc:Fallback>
          <w:pict>
            <v:rect w14:anchorId="14901C6C" id="Rectangle 3" o:spid="_x0000_s1029" style="position:absolute;margin-left:-76.85pt;margin-top:-38.35pt;width:609.25pt;height:5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" fillcolor="white [3201]" stroked="f">
              <v:textbox inset="2.53958mm,1.2694mm,2.53958mm,1.2694mm">
                <w:txbxContent>
                  <w:p w14:paraId="515A5B5F" w14:textId="46021FA7" w:rsidR="000C234E" w:rsidRDefault="000C234E">
                    <w:pPr>
                      <w:spacing w:before="240" w:after="160" w:line="258" w:lineRule="auto"/>
                      <w:ind w:left="720" w:right="1350" w:firstLine="1440"/>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2FCFCD94" wp14:editId="520E8300">
          <wp:simplePos x="0" y="0"/>
          <wp:positionH relativeFrom="column">
            <wp:posOffset>-33019</wp:posOffset>
          </wp:positionH>
          <wp:positionV relativeFrom="paragraph">
            <wp:posOffset>-278129</wp:posOffset>
          </wp:positionV>
          <wp:extent cx="1436370" cy="431165"/>
          <wp:effectExtent l="0" t="0" r="0" b="0"/>
          <wp:wrapTopAndBottom distT="0" distB="0"/>
          <wp:docPr id="5" name="image2.jpg" descr="IFE Core Group (@IFECoreGroup) / X"/>
          <wp:cNvGraphicFramePr/>
          <a:graphic xmlns:a="http://schemas.openxmlformats.org/drawingml/2006/main">
            <a:graphicData uri="http://schemas.openxmlformats.org/drawingml/2006/picture">
              <pic:pic xmlns:pic="http://schemas.openxmlformats.org/drawingml/2006/picture">
                <pic:nvPicPr>
                  <pic:cNvPr id="0" name="image2.jpg" descr="IFE Core Group (@IFECoreGroup) / X"/>
                  <pic:cNvPicPr preferRelativeResize="0"/>
                </pic:nvPicPr>
                <pic:blipFill>
                  <a:blip r:embed="rId2"/>
                  <a:srcRect t="31995" b="37938"/>
                  <a:stretch>
                    <a:fillRect/>
                  </a:stretch>
                </pic:blipFill>
                <pic:spPr>
                  <a:xfrm>
                    <a:off x="0" y="0"/>
                    <a:ext cx="1436370" cy="4311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E067C7"/>
    <w:multiLevelType w:val="multilevel"/>
    <w:tmpl w:val="030677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5883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34E"/>
    <w:rsid w:val="000C234E"/>
    <w:rsid w:val="001D01A9"/>
    <w:rsid w:val="003612A7"/>
    <w:rsid w:val="003E22B4"/>
    <w:rsid w:val="004B7B2D"/>
    <w:rsid w:val="005245B9"/>
    <w:rsid w:val="00590FD1"/>
    <w:rsid w:val="00830D67"/>
    <w:rsid w:val="00B80550"/>
    <w:rsid w:val="00D373B7"/>
    <w:rsid w:val="00DD74AC"/>
    <w:rsid w:val="00EF5E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2247B"/>
  <w15:docId w15:val="{EBC13947-9EC2-224A-8CB4-7A9E0CC71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612A7"/>
    <w:pPr>
      <w:tabs>
        <w:tab w:val="center" w:pos="4680"/>
        <w:tab w:val="right" w:pos="9360"/>
      </w:tabs>
      <w:spacing w:line="240" w:lineRule="auto"/>
    </w:pPr>
  </w:style>
  <w:style w:type="character" w:customStyle="1" w:styleId="HeaderChar">
    <w:name w:val="Header Char"/>
    <w:basedOn w:val="DefaultParagraphFont"/>
    <w:link w:val="Header"/>
    <w:uiPriority w:val="99"/>
    <w:rsid w:val="003612A7"/>
  </w:style>
  <w:style w:type="paragraph" w:styleId="Footer">
    <w:name w:val="footer"/>
    <w:basedOn w:val="Normal"/>
    <w:link w:val="FooterChar"/>
    <w:uiPriority w:val="99"/>
    <w:unhideWhenUsed/>
    <w:rsid w:val="003612A7"/>
    <w:pPr>
      <w:tabs>
        <w:tab w:val="center" w:pos="4680"/>
        <w:tab w:val="right" w:pos="9360"/>
      </w:tabs>
      <w:spacing w:line="240" w:lineRule="auto"/>
    </w:pPr>
  </w:style>
  <w:style w:type="character" w:customStyle="1" w:styleId="FooterChar">
    <w:name w:val="Footer Char"/>
    <w:basedOn w:val="DefaultParagraphFont"/>
    <w:link w:val="Footer"/>
    <w:uiPriority w:val="99"/>
    <w:rsid w:val="00361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globalbreastfeedingcollective.org/what-i-should-know-about-code" TargetMode="External"/><Relationship Id="rId1" Type="http://schemas.openxmlformats.org/officeDocument/2006/relationships/hyperlink" Target="https://www.who.int/tools/elena/interventions/regulation-breast-milk-substitut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pnPufXK81myzWePqAgSv78IPLg==">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2304</Words>
  <Characters>13138</Characters>
  <Application>Microsoft Office Word</Application>
  <DocSecurity>0</DocSecurity>
  <Lines>109</Lines>
  <Paragraphs>30</Paragraphs>
  <ScaleCrop>false</ScaleCrop>
  <Company/>
  <LinksUpToDate>false</LinksUpToDate>
  <CharactersWithSpaces>15412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Gebru, Fasika</cp:lastModifiedBy>
  <cp:revision>6</cp:revision>
  <dcterms:created xsi:type="dcterms:W3CDTF">2026-05-29T12:50:00Z</dcterms:created>
  <dcterms:modified xsi:type="dcterms:W3CDTF">2026-06-02T12:32:00Z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0x0101005992CCE238C7904CA05897297BEE9C3F</vt:lpwstr>
  </property>
  <property fmtid="{D5CDD505-2E9C-101B-9397-08002B2CF9AE}" pid="3" name="Tag 2">
    <vt:lpwstr>Tag 2</vt:lpwstr>
  </property>
  <property fmtid="{D5CDD505-2E9C-101B-9397-08002B2CF9AE}" pid="4" name="Type of Document">
    <vt:lpwstr>Type of Document</vt:lpwstr>
  </property>
  <property fmtid="{D5CDD505-2E9C-101B-9397-08002B2CF9AE}" pid="5" name="Common Approach">
    <vt:lpwstr>Common Approach</vt:lpwstr>
  </property>
  <property fmtid="{D5CDD505-2E9C-101B-9397-08002B2CF9AE}" pid="6" name="TaxKeyword">
    <vt:lpwstr>TaxKeyword</vt:lpwstr>
  </property>
  <property fmtid="{D5CDD505-2E9C-101B-9397-08002B2CF9AE}" pid="7" name="Function / Theme">
    <vt:lpwstr>Function / Theme</vt:lpwstr>
  </property>
  <property fmtid="{D5CDD505-2E9C-101B-9397-08002B2CF9AE}" pid="8" name="Tags">
    <vt:lpwstr>Tags</vt:lpwstr>
  </property>
  <property fmtid="{D5CDD505-2E9C-101B-9397-08002B2CF9AE}" pid="9" name="MediaServiceImageTags">
    <vt:lpwstr>MediaServiceImageTags</vt:lpwstr>
  </property>
  <property fmtid="{D5CDD505-2E9C-101B-9397-08002B2CF9AE}" pid="10" name="GrammarlyDocumentId">
    <vt:lpwstr>57f58dfa-c6fc-41c0-8940-2b3c896ae517</vt:lpwstr>
  </property>
</Properties>
</file>