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7C2338" w14:textId="252FDDAD" w:rsidR="00920C75" w:rsidRPr="00BA41E1" w:rsidRDefault="00D47AC8" w:rsidP="00D708B7">
      <w:pPr>
        <w:jc w:val="center"/>
        <w:rPr>
          <w:b/>
          <w:bCs/>
          <w:color w:val="91C93D"/>
          <w:sz w:val="32"/>
          <w:szCs w:val="32"/>
          <w:lang w:val="en-GB"/>
        </w:rPr>
      </w:pPr>
      <w:bookmarkStart w:id="0" w:name="_GoBack"/>
      <w:bookmarkEnd w:id="0"/>
      <w:r w:rsidRPr="00D47AC8">
        <w:rPr>
          <w:b/>
          <w:bCs/>
          <w:noProof/>
          <w:color w:val="91C93D"/>
          <w:sz w:val="32"/>
          <w:szCs w:val="32"/>
        </w:rPr>
        <w:drawing>
          <wp:anchor distT="0" distB="0" distL="114300" distR="114300" simplePos="0" relativeHeight="251660288" behindDoc="0" locked="0" layoutInCell="1" allowOverlap="1" wp14:anchorId="0C9124B0" wp14:editId="38580A38">
            <wp:simplePos x="0" y="0"/>
            <wp:positionH relativeFrom="margin">
              <wp:align>right</wp:align>
            </wp:positionH>
            <wp:positionV relativeFrom="paragraph">
              <wp:posOffset>0</wp:posOffset>
            </wp:positionV>
            <wp:extent cx="2743626" cy="749300"/>
            <wp:effectExtent l="0" t="0" r="0" b="0"/>
            <wp:wrapNone/>
            <wp:docPr id="5" name="Picture 4">
              <a:extLst xmlns:a="http://schemas.openxmlformats.org/drawingml/2006/main">
                <a:ext uri="{FF2B5EF4-FFF2-40B4-BE49-F238E27FC236}">
                  <a16:creationId xmlns:a16="http://schemas.microsoft.com/office/drawing/2014/main" id="{B31F900A-616A-40FF-BD9C-501F236FCB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31F900A-616A-40FF-BD9C-501F236FCB93}"/>
                        </a:ext>
                      </a:extLst>
                    </pic:cNvPr>
                    <pic:cNvPicPr>
                      <a:picLocks noChangeAspect="1"/>
                    </pic:cNvPicPr>
                  </pic:nvPicPr>
                  <pic:blipFill>
                    <a:blip r:embed="rId8"/>
                    <a:stretch>
                      <a:fillRect/>
                    </a:stretch>
                  </pic:blipFill>
                  <pic:spPr>
                    <a:xfrm>
                      <a:off x="0" y="0"/>
                      <a:ext cx="2743626" cy="749300"/>
                    </a:xfrm>
                    <a:prstGeom prst="rect">
                      <a:avLst/>
                    </a:prstGeom>
                  </pic:spPr>
                </pic:pic>
              </a:graphicData>
            </a:graphic>
            <wp14:sizeRelH relativeFrom="margin">
              <wp14:pctWidth>0</wp14:pctWidth>
            </wp14:sizeRelH>
            <wp14:sizeRelV relativeFrom="margin">
              <wp14:pctHeight>0</wp14:pctHeight>
            </wp14:sizeRelV>
          </wp:anchor>
        </w:drawing>
      </w:r>
      <w:r w:rsidRPr="00D47AC8">
        <w:rPr>
          <w:b/>
          <w:bCs/>
          <w:noProof/>
          <w:color w:val="91C93D"/>
          <w:sz w:val="32"/>
          <w:szCs w:val="32"/>
        </w:rPr>
        <w:drawing>
          <wp:anchor distT="0" distB="0" distL="114300" distR="114300" simplePos="0" relativeHeight="251659264" behindDoc="0" locked="0" layoutInCell="1" allowOverlap="1" wp14:anchorId="371B4C5D" wp14:editId="2063EBB5">
            <wp:simplePos x="0" y="0"/>
            <wp:positionH relativeFrom="margin">
              <wp:align>left</wp:align>
            </wp:positionH>
            <wp:positionV relativeFrom="paragraph">
              <wp:posOffset>0</wp:posOffset>
            </wp:positionV>
            <wp:extent cx="1949450" cy="686106"/>
            <wp:effectExtent l="0" t="0" r="0" b="0"/>
            <wp:wrapNone/>
            <wp:docPr id="8" name="Picture 7">
              <a:extLst xmlns:a="http://schemas.openxmlformats.org/drawingml/2006/main">
                <a:ext uri="{FF2B5EF4-FFF2-40B4-BE49-F238E27FC236}">
                  <a16:creationId xmlns:a16="http://schemas.microsoft.com/office/drawing/2014/main" id="{96071816-EA63-4177-B59A-FD44241B89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6071816-EA63-4177-B59A-FD44241B8906}"/>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9450" cy="686106"/>
                    </a:xfrm>
                    <a:prstGeom prst="rect">
                      <a:avLst/>
                    </a:prstGeom>
                  </pic:spPr>
                </pic:pic>
              </a:graphicData>
            </a:graphic>
            <wp14:sizeRelH relativeFrom="margin">
              <wp14:pctWidth>0</wp14:pctWidth>
            </wp14:sizeRelH>
            <wp14:sizeRelV relativeFrom="margin">
              <wp14:pctHeight>0</wp14:pctHeight>
            </wp14:sizeRelV>
          </wp:anchor>
        </w:drawing>
      </w:r>
    </w:p>
    <w:p w14:paraId="33B86479" w14:textId="41554F96" w:rsidR="00920C75" w:rsidRDefault="00920C75" w:rsidP="00D708B7">
      <w:pPr>
        <w:jc w:val="center"/>
        <w:rPr>
          <w:b/>
          <w:bCs/>
          <w:color w:val="91C93D"/>
          <w:sz w:val="32"/>
          <w:szCs w:val="32"/>
          <w:lang w:val="en-GB"/>
        </w:rPr>
      </w:pPr>
    </w:p>
    <w:p w14:paraId="00DB0769" w14:textId="0894018D" w:rsidR="00D47AC8" w:rsidRDefault="00D47AC8" w:rsidP="00D708B7">
      <w:pPr>
        <w:jc w:val="center"/>
        <w:rPr>
          <w:b/>
          <w:bCs/>
          <w:color w:val="91C93D"/>
          <w:sz w:val="32"/>
          <w:szCs w:val="32"/>
          <w:lang w:val="en-GB"/>
        </w:rPr>
      </w:pPr>
    </w:p>
    <w:p w14:paraId="310C20C5" w14:textId="248CCE0D" w:rsidR="00D47AC8" w:rsidRDefault="00D47AC8" w:rsidP="00D708B7">
      <w:pPr>
        <w:jc w:val="center"/>
        <w:rPr>
          <w:b/>
          <w:bCs/>
          <w:color w:val="91C93D"/>
          <w:sz w:val="32"/>
          <w:szCs w:val="32"/>
          <w:lang w:val="en-GB"/>
        </w:rPr>
      </w:pPr>
    </w:p>
    <w:p w14:paraId="48C99C0B" w14:textId="77777777" w:rsidR="00D47AC8" w:rsidRPr="00BA41E1" w:rsidRDefault="00D47AC8" w:rsidP="00D708B7">
      <w:pPr>
        <w:jc w:val="center"/>
        <w:rPr>
          <w:b/>
          <w:bCs/>
          <w:color w:val="91C93D"/>
          <w:sz w:val="32"/>
          <w:szCs w:val="32"/>
          <w:lang w:val="en-GB"/>
        </w:rPr>
      </w:pPr>
    </w:p>
    <w:p w14:paraId="23C2CA18" w14:textId="2FED087E" w:rsidR="004D2F0D" w:rsidRPr="00D47AC8" w:rsidRDefault="009013BE" w:rsidP="00D708B7">
      <w:pPr>
        <w:jc w:val="center"/>
        <w:rPr>
          <w:b/>
          <w:bCs/>
          <w:color w:val="91C93D"/>
          <w:sz w:val="36"/>
          <w:szCs w:val="36"/>
          <w:lang w:val="en-GB"/>
        </w:rPr>
      </w:pPr>
      <w:r w:rsidRPr="00D47AC8">
        <w:rPr>
          <w:b/>
          <w:bCs/>
          <w:color w:val="91C93D"/>
          <w:sz w:val="36"/>
          <w:szCs w:val="36"/>
          <w:lang w:val="en-GB"/>
        </w:rPr>
        <w:t>C</w:t>
      </w:r>
      <w:r w:rsidR="005406D2" w:rsidRPr="00D47AC8">
        <w:rPr>
          <w:b/>
          <w:bCs/>
          <w:color w:val="91C93D"/>
          <w:sz w:val="36"/>
          <w:szCs w:val="36"/>
          <w:lang w:val="en-GB"/>
        </w:rPr>
        <w:t xml:space="preserve">ase study: </w:t>
      </w:r>
      <w:r w:rsidR="004D2F0D" w:rsidRPr="00D47AC8">
        <w:rPr>
          <w:b/>
          <w:bCs/>
          <w:color w:val="91C93D"/>
          <w:sz w:val="36"/>
          <w:szCs w:val="36"/>
          <w:lang w:val="en-GB"/>
        </w:rPr>
        <w:t>Documentation of experiences using CVA for nutrition outcomes</w:t>
      </w:r>
      <w:r w:rsidRPr="00D47AC8">
        <w:rPr>
          <w:b/>
          <w:bCs/>
          <w:color w:val="91C93D"/>
          <w:sz w:val="36"/>
          <w:szCs w:val="36"/>
          <w:lang w:val="en-GB"/>
        </w:rPr>
        <w:t xml:space="preserve"> in Nigeria</w:t>
      </w:r>
    </w:p>
    <w:p w14:paraId="02CFCA26" w14:textId="599C21F4" w:rsidR="004D2F0D" w:rsidRPr="00BA41E1" w:rsidRDefault="004D2F0D" w:rsidP="00566ABA">
      <w:pPr>
        <w:jc w:val="both"/>
        <w:rPr>
          <w:b/>
          <w:bCs/>
          <w:lang w:val="en-GB"/>
        </w:rPr>
      </w:pPr>
    </w:p>
    <w:p w14:paraId="1CBEB7D6" w14:textId="71544ADD" w:rsidR="00920C75" w:rsidRPr="00BA41E1" w:rsidRDefault="00FC32FE" w:rsidP="00920C75">
      <w:pPr>
        <w:jc w:val="center"/>
        <w:rPr>
          <w:sz w:val="24"/>
          <w:szCs w:val="24"/>
          <w:lang w:val="en-GB"/>
        </w:rPr>
      </w:pPr>
      <w:r>
        <w:rPr>
          <w:sz w:val="24"/>
          <w:szCs w:val="24"/>
          <w:lang w:val="en-GB"/>
        </w:rPr>
        <w:t>May</w:t>
      </w:r>
      <w:r w:rsidR="00920C75" w:rsidRPr="00BA41E1">
        <w:rPr>
          <w:sz w:val="24"/>
          <w:szCs w:val="24"/>
          <w:lang w:val="en-GB"/>
        </w:rPr>
        <w:t xml:space="preserve"> 2020</w:t>
      </w:r>
    </w:p>
    <w:p w14:paraId="2339BB4C" w14:textId="77777777" w:rsidR="004200C6" w:rsidRDefault="00920C75" w:rsidP="00920C75">
      <w:pPr>
        <w:jc w:val="center"/>
        <w:rPr>
          <w:sz w:val="24"/>
          <w:szCs w:val="24"/>
          <w:lang w:val="en-GB"/>
        </w:rPr>
      </w:pPr>
      <w:r w:rsidRPr="00BA41E1">
        <w:rPr>
          <w:sz w:val="24"/>
          <w:szCs w:val="24"/>
          <w:lang w:val="en-GB"/>
        </w:rPr>
        <w:t xml:space="preserve">Prepared by Andre Duerr </w:t>
      </w:r>
    </w:p>
    <w:p w14:paraId="65ACB08A" w14:textId="2331AC70" w:rsidR="00920C75" w:rsidRDefault="00920C75" w:rsidP="00920C75">
      <w:pPr>
        <w:jc w:val="center"/>
        <w:rPr>
          <w:sz w:val="24"/>
          <w:szCs w:val="24"/>
          <w:lang w:val="en-GB"/>
        </w:rPr>
      </w:pPr>
      <w:r w:rsidRPr="00BA41E1">
        <w:rPr>
          <w:sz w:val="24"/>
          <w:szCs w:val="24"/>
          <w:lang w:val="en-GB"/>
        </w:rPr>
        <w:t xml:space="preserve">Cash Advisor to the </w:t>
      </w:r>
      <w:r w:rsidR="004E5108">
        <w:rPr>
          <w:sz w:val="24"/>
          <w:szCs w:val="24"/>
          <w:lang w:val="en-GB"/>
        </w:rPr>
        <w:t>Global Nutrition Cluster</w:t>
      </w:r>
      <w:r w:rsidR="00D47AC8">
        <w:rPr>
          <w:sz w:val="24"/>
          <w:szCs w:val="24"/>
          <w:lang w:val="en-GB"/>
        </w:rPr>
        <w:t xml:space="preserve"> (CashCap)</w:t>
      </w:r>
    </w:p>
    <w:p w14:paraId="388C8B51" w14:textId="25668B5D" w:rsidR="004E5108" w:rsidRPr="00BA41E1" w:rsidRDefault="002D27BD" w:rsidP="00920C75">
      <w:pPr>
        <w:jc w:val="center"/>
        <w:rPr>
          <w:sz w:val="24"/>
          <w:szCs w:val="24"/>
          <w:lang w:val="en-GB"/>
        </w:rPr>
      </w:pPr>
      <w:hyperlink r:id="rId10" w:history="1">
        <w:r w:rsidR="004E5108" w:rsidRPr="0087181B">
          <w:rPr>
            <w:rStyle w:val="Hyperlink"/>
            <w:sz w:val="24"/>
            <w:szCs w:val="24"/>
            <w:lang w:val="en-GB"/>
          </w:rPr>
          <w:t>andurr@unicef.org</w:t>
        </w:r>
      </w:hyperlink>
      <w:r w:rsidR="004E5108">
        <w:rPr>
          <w:sz w:val="24"/>
          <w:szCs w:val="24"/>
          <w:lang w:val="en-GB"/>
        </w:rPr>
        <w:t xml:space="preserve"> </w:t>
      </w:r>
    </w:p>
    <w:p w14:paraId="3B05FF3E" w14:textId="43F33F76" w:rsidR="00920C75" w:rsidRPr="00BA41E1" w:rsidRDefault="00920C75" w:rsidP="00920C75">
      <w:pPr>
        <w:jc w:val="center"/>
        <w:rPr>
          <w:lang w:val="en-GB"/>
        </w:rPr>
      </w:pPr>
    </w:p>
    <w:p w14:paraId="466CDE62" w14:textId="77777777" w:rsidR="00920C75" w:rsidRPr="00BA41E1" w:rsidRDefault="00920C75" w:rsidP="00920C75">
      <w:pPr>
        <w:jc w:val="center"/>
        <w:rPr>
          <w:lang w:val="en-GB"/>
        </w:rPr>
      </w:pPr>
    </w:p>
    <w:sdt>
      <w:sdtPr>
        <w:rPr>
          <w:rFonts w:asciiTheme="minorHAnsi" w:eastAsiaTheme="minorHAnsi" w:hAnsiTheme="minorHAnsi" w:cstheme="minorBidi"/>
          <w:b w:val="0"/>
          <w:color w:val="auto"/>
          <w:sz w:val="22"/>
          <w:szCs w:val="22"/>
          <w:lang w:val="en-GB"/>
        </w:rPr>
        <w:id w:val="-2044509918"/>
        <w:docPartObj>
          <w:docPartGallery w:val="Table of Contents"/>
          <w:docPartUnique/>
        </w:docPartObj>
      </w:sdtPr>
      <w:sdtEndPr>
        <w:rPr>
          <w:bCs/>
          <w:noProof/>
        </w:rPr>
      </w:sdtEndPr>
      <w:sdtContent>
        <w:p w14:paraId="11FAC2BC" w14:textId="70FAB086" w:rsidR="000304FF" w:rsidRPr="00BA41E1" w:rsidRDefault="000304FF" w:rsidP="00566ABA">
          <w:pPr>
            <w:pStyle w:val="TOCHeading"/>
            <w:jc w:val="both"/>
            <w:rPr>
              <w:lang w:val="en-GB"/>
            </w:rPr>
          </w:pPr>
          <w:r w:rsidRPr="00BA41E1">
            <w:rPr>
              <w:lang w:val="en-GB"/>
            </w:rPr>
            <w:t>Table of Contents</w:t>
          </w:r>
        </w:p>
        <w:p w14:paraId="6C397219" w14:textId="017344C4" w:rsidR="00866D37" w:rsidRDefault="000304FF">
          <w:pPr>
            <w:pStyle w:val="TOC1"/>
            <w:tabs>
              <w:tab w:val="left" w:pos="440"/>
              <w:tab w:val="right" w:leader="dot" w:pos="9350"/>
            </w:tabs>
            <w:rPr>
              <w:rFonts w:eastAsiaTheme="minorEastAsia"/>
              <w:noProof/>
            </w:rPr>
          </w:pPr>
          <w:r w:rsidRPr="00BA41E1">
            <w:rPr>
              <w:lang w:val="en-GB"/>
            </w:rPr>
            <w:fldChar w:fldCharType="begin"/>
          </w:r>
          <w:r w:rsidRPr="00BA41E1">
            <w:rPr>
              <w:lang w:val="en-GB"/>
            </w:rPr>
            <w:instrText xml:space="preserve"> TOC \o "1-3" \h \z \u </w:instrText>
          </w:r>
          <w:r w:rsidRPr="00BA41E1">
            <w:rPr>
              <w:lang w:val="en-GB"/>
            </w:rPr>
            <w:fldChar w:fldCharType="separate"/>
          </w:r>
          <w:hyperlink w:anchor="_Toc41558459" w:history="1">
            <w:r w:rsidR="00866D37" w:rsidRPr="00796AEE">
              <w:rPr>
                <w:rStyle w:val="Hyperlink"/>
                <w:noProof/>
                <w:lang w:val="en-GB"/>
              </w:rPr>
              <w:t>1</w:t>
            </w:r>
            <w:r w:rsidR="00866D37">
              <w:rPr>
                <w:rFonts w:eastAsiaTheme="minorEastAsia"/>
                <w:noProof/>
              </w:rPr>
              <w:tab/>
            </w:r>
            <w:r w:rsidR="00866D37" w:rsidRPr="00796AEE">
              <w:rPr>
                <w:rStyle w:val="Hyperlink"/>
                <w:noProof/>
                <w:lang w:val="en-GB"/>
              </w:rPr>
              <w:t>Introduction</w:t>
            </w:r>
            <w:r w:rsidR="00866D37">
              <w:rPr>
                <w:noProof/>
                <w:webHidden/>
              </w:rPr>
              <w:tab/>
            </w:r>
            <w:r w:rsidR="00866D37">
              <w:rPr>
                <w:noProof/>
                <w:webHidden/>
              </w:rPr>
              <w:fldChar w:fldCharType="begin"/>
            </w:r>
            <w:r w:rsidR="00866D37">
              <w:rPr>
                <w:noProof/>
                <w:webHidden/>
              </w:rPr>
              <w:instrText xml:space="preserve"> PAGEREF _Toc41558459 \h </w:instrText>
            </w:r>
            <w:r w:rsidR="00866D37">
              <w:rPr>
                <w:noProof/>
                <w:webHidden/>
              </w:rPr>
            </w:r>
            <w:r w:rsidR="00866D37">
              <w:rPr>
                <w:noProof/>
                <w:webHidden/>
              </w:rPr>
              <w:fldChar w:fldCharType="separate"/>
            </w:r>
            <w:r w:rsidR="00BB28FF">
              <w:rPr>
                <w:noProof/>
                <w:webHidden/>
              </w:rPr>
              <w:t>2</w:t>
            </w:r>
            <w:r w:rsidR="00866D37">
              <w:rPr>
                <w:noProof/>
                <w:webHidden/>
              </w:rPr>
              <w:fldChar w:fldCharType="end"/>
            </w:r>
          </w:hyperlink>
        </w:p>
        <w:p w14:paraId="72DB0E62" w14:textId="2F1806AC" w:rsidR="00866D37" w:rsidRDefault="002D27BD">
          <w:pPr>
            <w:pStyle w:val="TOC1"/>
            <w:tabs>
              <w:tab w:val="left" w:pos="440"/>
              <w:tab w:val="right" w:leader="dot" w:pos="9350"/>
            </w:tabs>
            <w:rPr>
              <w:rFonts w:eastAsiaTheme="minorEastAsia"/>
              <w:noProof/>
            </w:rPr>
          </w:pPr>
          <w:hyperlink w:anchor="_Toc41558460" w:history="1">
            <w:r w:rsidR="00866D37" w:rsidRPr="00796AEE">
              <w:rPr>
                <w:rStyle w:val="Hyperlink"/>
                <w:noProof/>
                <w:lang w:val="en-GB"/>
              </w:rPr>
              <w:t>2</w:t>
            </w:r>
            <w:r w:rsidR="00866D37">
              <w:rPr>
                <w:rFonts w:eastAsiaTheme="minorEastAsia"/>
                <w:noProof/>
              </w:rPr>
              <w:tab/>
            </w:r>
            <w:r w:rsidR="00866D37" w:rsidRPr="00796AEE">
              <w:rPr>
                <w:rStyle w:val="Hyperlink"/>
                <w:noProof/>
                <w:lang w:val="en-GB"/>
              </w:rPr>
              <w:t>The role of CVA in nutrition programming</w:t>
            </w:r>
            <w:r w:rsidR="00866D37">
              <w:rPr>
                <w:noProof/>
                <w:webHidden/>
              </w:rPr>
              <w:tab/>
            </w:r>
            <w:r w:rsidR="00866D37">
              <w:rPr>
                <w:noProof/>
                <w:webHidden/>
              </w:rPr>
              <w:fldChar w:fldCharType="begin"/>
            </w:r>
            <w:r w:rsidR="00866D37">
              <w:rPr>
                <w:noProof/>
                <w:webHidden/>
              </w:rPr>
              <w:instrText xml:space="preserve"> PAGEREF _Toc41558460 \h </w:instrText>
            </w:r>
            <w:r w:rsidR="00866D37">
              <w:rPr>
                <w:noProof/>
                <w:webHidden/>
              </w:rPr>
            </w:r>
            <w:r w:rsidR="00866D37">
              <w:rPr>
                <w:noProof/>
                <w:webHidden/>
              </w:rPr>
              <w:fldChar w:fldCharType="separate"/>
            </w:r>
            <w:r w:rsidR="00BB28FF">
              <w:rPr>
                <w:noProof/>
                <w:webHidden/>
              </w:rPr>
              <w:t>4</w:t>
            </w:r>
            <w:r w:rsidR="00866D37">
              <w:rPr>
                <w:noProof/>
                <w:webHidden/>
              </w:rPr>
              <w:fldChar w:fldCharType="end"/>
            </w:r>
          </w:hyperlink>
        </w:p>
        <w:p w14:paraId="58C3B59E" w14:textId="6293EA30" w:rsidR="00866D37" w:rsidRDefault="002D27BD">
          <w:pPr>
            <w:pStyle w:val="TOC1"/>
            <w:tabs>
              <w:tab w:val="left" w:pos="440"/>
              <w:tab w:val="right" w:leader="dot" w:pos="9350"/>
            </w:tabs>
            <w:rPr>
              <w:rFonts w:eastAsiaTheme="minorEastAsia"/>
              <w:noProof/>
            </w:rPr>
          </w:pPr>
          <w:hyperlink w:anchor="_Toc41558461" w:history="1">
            <w:r w:rsidR="00866D37" w:rsidRPr="00796AEE">
              <w:rPr>
                <w:rStyle w:val="Hyperlink"/>
                <w:noProof/>
                <w:lang w:val="en-GB"/>
              </w:rPr>
              <w:t>3</w:t>
            </w:r>
            <w:r w:rsidR="00866D37">
              <w:rPr>
                <w:rFonts w:eastAsiaTheme="minorEastAsia"/>
                <w:noProof/>
              </w:rPr>
              <w:tab/>
            </w:r>
            <w:r w:rsidR="00866D37" w:rsidRPr="00796AEE">
              <w:rPr>
                <w:rStyle w:val="Hyperlink"/>
                <w:noProof/>
                <w:lang w:val="en-GB"/>
              </w:rPr>
              <w:t>The use of CVA in the nutrition response in Nigeria</w:t>
            </w:r>
            <w:r w:rsidR="00866D37">
              <w:rPr>
                <w:noProof/>
                <w:webHidden/>
              </w:rPr>
              <w:tab/>
            </w:r>
            <w:r w:rsidR="00866D37">
              <w:rPr>
                <w:noProof/>
                <w:webHidden/>
              </w:rPr>
              <w:fldChar w:fldCharType="begin"/>
            </w:r>
            <w:r w:rsidR="00866D37">
              <w:rPr>
                <w:noProof/>
                <w:webHidden/>
              </w:rPr>
              <w:instrText xml:space="preserve"> PAGEREF _Toc41558461 \h </w:instrText>
            </w:r>
            <w:r w:rsidR="00866D37">
              <w:rPr>
                <w:noProof/>
                <w:webHidden/>
              </w:rPr>
            </w:r>
            <w:r w:rsidR="00866D37">
              <w:rPr>
                <w:noProof/>
                <w:webHidden/>
              </w:rPr>
              <w:fldChar w:fldCharType="separate"/>
            </w:r>
            <w:r w:rsidR="00BB28FF">
              <w:rPr>
                <w:noProof/>
                <w:webHidden/>
              </w:rPr>
              <w:t>6</w:t>
            </w:r>
            <w:r w:rsidR="00866D37">
              <w:rPr>
                <w:noProof/>
                <w:webHidden/>
              </w:rPr>
              <w:fldChar w:fldCharType="end"/>
            </w:r>
          </w:hyperlink>
        </w:p>
        <w:p w14:paraId="671B5D84" w14:textId="1C4A9E6E" w:rsidR="00866D37" w:rsidRDefault="002D27BD">
          <w:pPr>
            <w:pStyle w:val="TOC2"/>
            <w:tabs>
              <w:tab w:val="left" w:pos="880"/>
              <w:tab w:val="right" w:leader="dot" w:pos="9350"/>
            </w:tabs>
            <w:rPr>
              <w:rFonts w:eastAsiaTheme="minorEastAsia"/>
              <w:noProof/>
            </w:rPr>
          </w:pPr>
          <w:hyperlink w:anchor="_Toc41558462" w:history="1">
            <w:r w:rsidR="00866D37" w:rsidRPr="00796AEE">
              <w:rPr>
                <w:rStyle w:val="Hyperlink"/>
                <w:noProof/>
                <w:lang w:val="en-GB"/>
              </w:rPr>
              <w:t>3.1</w:t>
            </w:r>
            <w:r w:rsidR="00866D37">
              <w:rPr>
                <w:rFonts w:eastAsiaTheme="minorEastAsia"/>
                <w:noProof/>
              </w:rPr>
              <w:tab/>
            </w:r>
            <w:r w:rsidR="00866D37" w:rsidRPr="00796AEE">
              <w:rPr>
                <w:rStyle w:val="Hyperlink"/>
                <w:noProof/>
                <w:lang w:val="en-GB"/>
              </w:rPr>
              <w:t>Providing cash transfers with nutrition social and behavioural change communication</w:t>
            </w:r>
            <w:r w:rsidR="00866D37">
              <w:rPr>
                <w:noProof/>
                <w:webHidden/>
              </w:rPr>
              <w:tab/>
            </w:r>
            <w:r w:rsidR="00866D37">
              <w:rPr>
                <w:noProof/>
                <w:webHidden/>
              </w:rPr>
              <w:fldChar w:fldCharType="begin"/>
            </w:r>
            <w:r w:rsidR="00866D37">
              <w:rPr>
                <w:noProof/>
                <w:webHidden/>
              </w:rPr>
              <w:instrText xml:space="preserve"> PAGEREF _Toc41558462 \h </w:instrText>
            </w:r>
            <w:r w:rsidR="00866D37">
              <w:rPr>
                <w:noProof/>
                <w:webHidden/>
              </w:rPr>
            </w:r>
            <w:r w:rsidR="00866D37">
              <w:rPr>
                <w:noProof/>
                <w:webHidden/>
              </w:rPr>
              <w:fldChar w:fldCharType="separate"/>
            </w:r>
            <w:r w:rsidR="00BB28FF">
              <w:rPr>
                <w:noProof/>
                <w:webHidden/>
              </w:rPr>
              <w:t>6</w:t>
            </w:r>
            <w:r w:rsidR="00866D37">
              <w:rPr>
                <w:noProof/>
                <w:webHidden/>
              </w:rPr>
              <w:fldChar w:fldCharType="end"/>
            </w:r>
          </w:hyperlink>
        </w:p>
        <w:p w14:paraId="1FDF791B" w14:textId="7CC4CF20" w:rsidR="00866D37" w:rsidRDefault="002D27BD">
          <w:pPr>
            <w:pStyle w:val="TOC2"/>
            <w:tabs>
              <w:tab w:val="left" w:pos="880"/>
              <w:tab w:val="right" w:leader="dot" w:pos="9350"/>
            </w:tabs>
            <w:rPr>
              <w:rFonts w:eastAsiaTheme="minorEastAsia"/>
              <w:noProof/>
            </w:rPr>
          </w:pPr>
          <w:hyperlink w:anchor="_Toc41558463" w:history="1">
            <w:r w:rsidR="00866D37" w:rsidRPr="00796AEE">
              <w:rPr>
                <w:rStyle w:val="Hyperlink"/>
                <w:noProof/>
                <w:lang w:val="en-GB"/>
              </w:rPr>
              <w:t>3.2</w:t>
            </w:r>
            <w:r w:rsidR="00866D37">
              <w:rPr>
                <w:rFonts w:eastAsiaTheme="minorEastAsia"/>
                <w:noProof/>
              </w:rPr>
              <w:tab/>
            </w:r>
            <w:r w:rsidR="00866D37" w:rsidRPr="00796AEE">
              <w:rPr>
                <w:rStyle w:val="Hyperlink"/>
                <w:noProof/>
                <w:lang w:val="en-GB"/>
              </w:rPr>
              <w:t>Providing cash transfers conditional to the attendance of priority health services</w:t>
            </w:r>
            <w:r w:rsidR="00866D37">
              <w:rPr>
                <w:noProof/>
                <w:webHidden/>
              </w:rPr>
              <w:tab/>
            </w:r>
            <w:r w:rsidR="00866D37">
              <w:rPr>
                <w:noProof/>
                <w:webHidden/>
              </w:rPr>
              <w:fldChar w:fldCharType="begin"/>
            </w:r>
            <w:r w:rsidR="00866D37">
              <w:rPr>
                <w:noProof/>
                <w:webHidden/>
              </w:rPr>
              <w:instrText xml:space="preserve"> PAGEREF _Toc41558463 \h </w:instrText>
            </w:r>
            <w:r w:rsidR="00866D37">
              <w:rPr>
                <w:noProof/>
                <w:webHidden/>
              </w:rPr>
            </w:r>
            <w:r w:rsidR="00866D37">
              <w:rPr>
                <w:noProof/>
                <w:webHidden/>
              </w:rPr>
              <w:fldChar w:fldCharType="separate"/>
            </w:r>
            <w:r w:rsidR="00BB28FF">
              <w:rPr>
                <w:noProof/>
                <w:webHidden/>
              </w:rPr>
              <w:t>8</w:t>
            </w:r>
            <w:r w:rsidR="00866D37">
              <w:rPr>
                <w:noProof/>
                <w:webHidden/>
              </w:rPr>
              <w:fldChar w:fldCharType="end"/>
            </w:r>
          </w:hyperlink>
        </w:p>
        <w:p w14:paraId="5B35C6B7" w14:textId="4A8ECC35" w:rsidR="00866D37" w:rsidRDefault="002D27BD">
          <w:pPr>
            <w:pStyle w:val="TOC2"/>
            <w:tabs>
              <w:tab w:val="left" w:pos="880"/>
              <w:tab w:val="right" w:leader="dot" w:pos="9350"/>
            </w:tabs>
            <w:rPr>
              <w:rFonts w:eastAsiaTheme="minorEastAsia"/>
              <w:noProof/>
            </w:rPr>
          </w:pPr>
          <w:hyperlink w:anchor="_Toc41558464" w:history="1">
            <w:r w:rsidR="00866D37" w:rsidRPr="00796AEE">
              <w:rPr>
                <w:rStyle w:val="Hyperlink"/>
                <w:noProof/>
                <w:lang w:val="en-GB"/>
              </w:rPr>
              <w:t>3.3</w:t>
            </w:r>
            <w:r w:rsidR="00866D37">
              <w:rPr>
                <w:rFonts w:eastAsiaTheme="minorEastAsia"/>
                <w:noProof/>
              </w:rPr>
              <w:tab/>
            </w:r>
            <w:r w:rsidR="00866D37" w:rsidRPr="00796AEE">
              <w:rPr>
                <w:rStyle w:val="Hyperlink"/>
                <w:noProof/>
                <w:lang w:val="en-GB"/>
              </w:rPr>
              <w:t>Provide general household CVA to caregivers who access SAM treatment</w:t>
            </w:r>
            <w:r w:rsidR="00866D37">
              <w:rPr>
                <w:noProof/>
                <w:webHidden/>
              </w:rPr>
              <w:tab/>
            </w:r>
            <w:r w:rsidR="00866D37">
              <w:rPr>
                <w:noProof/>
                <w:webHidden/>
              </w:rPr>
              <w:fldChar w:fldCharType="begin"/>
            </w:r>
            <w:r w:rsidR="00866D37">
              <w:rPr>
                <w:noProof/>
                <w:webHidden/>
              </w:rPr>
              <w:instrText xml:space="preserve"> PAGEREF _Toc41558464 \h </w:instrText>
            </w:r>
            <w:r w:rsidR="00866D37">
              <w:rPr>
                <w:noProof/>
                <w:webHidden/>
              </w:rPr>
            </w:r>
            <w:r w:rsidR="00866D37">
              <w:rPr>
                <w:noProof/>
                <w:webHidden/>
              </w:rPr>
              <w:fldChar w:fldCharType="separate"/>
            </w:r>
            <w:r w:rsidR="00BB28FF">
              <w:rPr>
                <w:noProof/>
                <w:webHidden/>
              </w:rPr>
              <w:t>9</w:t>
            </w:r>
            <w:r w:rsidR="00866D37">
              <w:rPr>
                <w:noProof/>
                <w:webHidden/>
              </w:rPr>
              <w:fldChar w:fldCharType="end"/>
            </w:r>
          </w:hyperlink>
        </w:p>
        <w:p w14:paraId="39154661" w14:textId="34E45996" w:rsidR="00866D37" w:rsidRDefault="002D27BD">
          <w:pPr>
            <w:pStyle w:val="TOC1"/>
            <w:tabs>
              <w:tab w:val="left" w:pos="440"/>
              <w:tab w:val="right" w:leader="dot" w:pos="9350"/>
            </w:tabs>
            <w:rPr>
              <w:rFonts w:eastAsiaTheme="minorEastAsia"/>
              <w:noProof/>
            </w:rPr>
          </w:pPr>
          <w:hyperlink w:anchor="_Toc41558465" w:history="1">
            <w:r w:rsidR="00866D37" w:rsidRPr="00796AEE">
              <w:rPr>
                <w:rStyle w:val="Hyperlink"/>
                <w:noProof/>
                <w:lang w:val="en-GB"/>
              </w:rPr>
              <w:t>4</w:t>
            </w:r>
            <w:r w:rsidR="00866D37">
              <w:rPr>
                <w:rFonts w:eastAsiaTheme="minorEastAsia"/>
                <w:noProof/>
              </w:rPr>
              <w:tab/>
            </w:r>
            <w:r w:rsidR="00866D37" w:rsidRPr="00796AEE">
              <w:rPr>
                <w:rStyle w:val="Hyperlink"/>
                <w:noProof/>
                <w:lang w:val="en-GB"/>
              </w:rPr>
              <w:t>Cash transfers in Nigeria</w:t>
            </w:r>
            <w:r w:rsidR="00866D37">
              <w:rPr>
                <w:noProof/>
                <w:webHidden/>
              </w:rPr>
              <w:tab/>
            </w:r>
            <w:r w:rsidR="00866D37">
              <w:rPr>
                <w:noProof/>
                <w:webHidden/>
              </w:rPr>
              <w:fldChar w:fldCharType="begin"/>
            </w:r>
            <w:r w:rsidR="00866D37">
              <w:rPr>
                <w:noProof/>
                <w:webHidden/>
              </w:rPr>
              <w:instrText xml:space="preserve"> PAGEREF _Toc41558465 \h </w:instrText>
            </w:r>
            <w:r w:rsidR="00866D37">
              <w:rPr>
                <w:noProof/>
                <w:webHidden/>
              </w:rPr>
            </w:r>
            <w:r w:rsidR="00866D37">
              <w:rPr>
                <w:noProof/>
                <w:webHidden/>
              </w:rPr>
              <w:fldChar w:fldCharType="separate"/>
            </w:r>
            <w:r w:rsidR="00BB28FF">
              <w:rPr>
                <w:noProof/>
                <w:webHidden/>
              </w:rPr>
              <w:t>10</w:t>
            </w:r>
            <w:r w:rsidR="00866D37">
              <w:rPr>
                <w:noProof/>
                <w:webHidden/>
              </w:rPr>
              <w:fldChar w:fldCharType="end"/>
            </w:r>
          </w:hyperlink>
        </w:p>
        <w:p w14:paraId="0039C04C" w14:textId="38C7DAAA" w:rsidR="00866D37" w:rsidRDefault="002D27BD">
          <w:pPr>
            <w:pStyle w:val="TOC1"/>
            <w:tabs>
              <w:tab w:val="left" w:pos="440"/>
              <w:tab w:val="right" w:leader="dot" w:pos="9350"/>
            </w:tabs>
            <w:rPr>
              <w:rFonts w:eastAsiaTheme="minorEastAsia"/>
              <w:noProof/>
            </w:rPr>
          </w:pPr>
          <w:hyperlink w:anchor="_Toc41558466" w:history="1">
            <w:r w:rsidR="00866D37" w:rsidRPr="00796AEE">
              <w:rPr>
                <w:rStyle w:val="Hyperlink"/>
                <w:noProof/>
                <w:lang w:val="en-GB"/>
              </w:rPr>
              <w:t>5</w:t>
            </w:r>
            <w:r w:rsidR="00866D37">
              <w:rPr>
                <w:rFonts w:eastAsiaTheme="minorEastAsia"/>
                <w:noProof/>
              </w:rPr>
              <w:tab/>
            </w:r>
            <w:r w:rsidR="00866D37" w:rsidRPr="00796AEE">
              <w:rPr>
                <w:rStyle w:val="Hyperlink"/>
                <w:noProof/>
                <w:lang w:val="en-GB"/>
              </w:rPr>
              <w:t>Conclusion</w:t>
            </w:r>
            <w:r w:rsidR="00866D37">
              <w:rPr>
                <w:noProof/>
                <w:webHidden/>
              </w:rPr>
              <w:tab/>
            </w:r>
            <w:r w:rsidR="00866D37">
              <w:rPr>
                <w:noProof/>
                <w:webHidden/>
              </w:rPr>
              <w:fldChar w:fldCharType="begin"/>
            </w:r>
            <w:r w:rsidR="00866D37">
              <w:rPr>
                <w:noProof/>
                <w:webHidden/>
              </w:rPr>
              <w:instrText xml:space="preserve"> PAGEREF _Toc41558466 \h </w:instrText>
            </w:r>
            <w:r w:rsidR="00866D37">
              <w:rPr>
                <w:noProof/>
                <w:webHidden/>
              </w:rPr>
            </w:r>
            <w:r w:rsidR="00866D37">
              <w:rPr>
                <w:noProof/>
                <w:webHidden/>
              </w:rPr>
              <w:fldChar w:fldCharType="separate"/>
            </w:r>
            <w:r w:rsidR="00BB28FF">
              <w:rPr>
                <w:noProof/>
                <w:webHidden/>
              </w:rPr>
              <w:t>12</w:t>
            </w:r>
            <w:r w:rsidR="00866D37">
              <w:rPr>
                <w:noProof/>
                <w:webHidden/>
              </w:rPr>
              <w:fldChar w:fldCharType="end"/>
            </w:r>
          </w:hyperlink>
        </w:p>
        <w:p w14:paraId="4292DAE8" w14:textId="6EA5B71B" w:rsidR="00866D37" w:rsidRDefault="002D27BD">
          <w:pPr>
            <w:pStyle w:val="TOC1"/>
            <w:tabs>
              <w:tab w:val="left" w:pos="440"/>
              <w:tab w:val="right" w:leader="dot" w:pos="9350"/>
            </w:tabs>
            <w:rPr>
              <w:rFonts w:eastAsiaTheme="minorEastAsia"/>
              <w:noProof/>
            </w:rPr>
          </w:pPr>
          <w:hyperlink w:anchor="_Toc41558467" w:history="1">
            <w:r w:rsidR="00866D37" w:rsidRPr="00796AEE">
              <w:rPr>
                <w:rStyle w:val="Hyperlink"/>
                <w:noProof/>
                <w:lang w:val="en-GB"/>
              </w:rPr>
              <w:t>6</w:t>
            </w:r>
            <w:r w:rsidR="00866D37">
              <w:rPr>
                <w:rFonts w:eastAsiaTheme="minorEastAsia"/>
                <w:noProof/>
              </w:rPr>
              <w:tab/>
            </w:r>
            <w:r w:rsidR="00866D37" w:rsidRPr="00796AEE">
              <w:rPr>
                <w:rStyle w:val="Hyperlink"/>
                <w:noProof/>
                <w:lang w:val="en-GB"/>
              </w:rPr>
              <w:t>Recommendations</w:t>
            </w:r>
            <w:r w:rsidR="00866D37">
              <w:rPr>
                <w:noProof/>
                <w:webHidden/>
              </w:rPr>
              <w:tab/>
            </w:r>
            <w:r w:rsidR="00866D37">
              <w:rPr>
                <w:noProof/>
                <w:webHidden/>
              </w:rPr>
              <w:fldChar w:fldCharType="begin"/>
            </w:r>
            <w:r w:rsidR="00866D37">
              <w:rPr>
                <w:noProof/>
                <w:webHidden/>
              </w:rPr>
              <w:instrText xml:space="preserve"> PAGEREF _Toc41558467 \h </w:instrText>
            </w:r>
            <w:r w:rsidR="00866D37">
              <w:rPr>
                <w:noProof/>
                <w:webHidden/>
              </w:rPr>
            </w:r>
            <w:r w:rsidR="00866D37">
              <w:rPr>
                <w:noProof/>
                <w:webHidden/>
              </w:rPr>
              <w:fldChar w:fldCharType="separate"/>
            </w:r>
            <w:r w:rsidR="00BB28FF">
              <w:rPr>
                <w:noProof/>
                <w:webHidden/>
              </w:rPr>
              <w:t>13</w:t>
            </w:r>
            <w:r w:rsidR="00866D37">
              <w:rPr>
                <w:noProof/>
                <w:webHidden/>
              </w:rPr>
              <w:fldChar w:fldCharType="end"/>
            </w:r>
          </w:hyperlink>
        </w:p>
        <w:p w14:paraId="16E4D213" w14:textId="3769C4D8" w:rsidR="00866D37" w:rsidRDefault="002D27BD">
          <w:pPr>
            <w:pStyle w:val="TOC1"/>
            <w:tabs>
              <w:tab w:val="right" w:leader="dot" w:pos="9350"/>
            </w:tabs>
            <w:rPr>
              <w:rFonts w:eastAsiaTheme="minorEastAsia"/>
              <w:noProof/>
            </w:rPr>
          </w:pPr>
          <w:hyperlink w:anchor="_Toc41558468" w:history="1">
            <w:r w:rsidR="00866D37" w:rsidRPr="00796AEE">
              <w:rPr>
                <w:rStyle w:val="Hyperlink"/>
                <w:noProof/>
                <w:lang w:val="en-GB"/>
              </w:rPr>
              <w:t>Annex 1: Demand and supply side barriers to adequate nutrition</w:t>
            </w:r>
            <w:r w:rsidR="00866D37">
              <w:rPr>
                <w:noProof/>
                <w:webHidden/>
              </w:rPr>
              <w:tab/>
            </w:r>
            <w:r w:rsidR="00866D37">
              <w:rPr>
                <w:noProof/>
                <w:webHidden/>
              </w:rPr>
              <w:fldChar w:fldCharType="begin"/>
            </w:r>
            <w:r w:rsidR="00866D37">
              <w:rPr>
                <w:noProof/>
                <w:webHidden/>
              </w:rPr>
              <w:instrText xml:space="preserve"> PAGEREF _Toc41558468 \h </w:instrText>
            </w:r>
            <w:r w:rsidR="00866D37">
              <w:rPr>
                <w:noProof/>
                <w:webHidden/>
              </w:rPr>
            </w:r>
            <w:r w:rsidR="00866D37">
              <w:rPr>
                <w:noProof/>
                <w:webHidden/>
              </w:rPr>
              <w:fldChar w:fldCharType="separate"/>
            </w:r>
            <w:r w:rsidR="00BB28FF">
              <w:rPr>
                <w:noProof/>
                <w:webHidden/>
              </w:rPr>
              <w:t>14</w:t>
            </w:r>
            <w:r w:rsidR="00866D37">
              <w:rPr>
                <w:noProof/>
                <w:webHidden/>
              </w:rPr>
              <w:fldChar w:fldCharType="end"/>
            </w:r>
          </w:hyperlink>
        </w:p>
        <w:p w14:paraId="635BD1F5" w14:textId="01B2259D" w:rsidR="00866D37" w:rsidRDefault="002D27BD">
          <w:pPr>
            <w:pStyle w:val="TOC1"/>
            <w:tabs>
              <w:tab w:val="right" w:leader="dot" w:pos="9350"/>
            </w:tabs>
            <w:rPr>
              <w:rFonts w:eastAsiaTheme="minorEastAsia"/>
              <w:noProof/>
            </w:rPr>
          </w:pPr>
          <w:hyperlink w:anchor="_Toc41558469" w:history="1">
            <w:r w:rsidR="00866D37" w:rsidRPr="00796AEE">
              <w:rPr>
                <w:rStyle w:val="Hyperlink"/>
                <w:noProof/>
                <w:lang w:val="en-GB"/>
              </w:rPr>
              <w:t>Annex 2: Summary of evidence base</w:t>
            </w:r>
            <w:r w:rsidR="00866D37">
              <w:rPr>
                <w:noProof/>
                <w:webHidden/>
              </w:rPr>
              <w:tab/>
            </w:r>
            <w:r w:rsidR="00866D37">
              <w:rPr>
                <w:noProof/>
                <w:webHidden/>
              </w:rPr>
              <w:fldChar w:fldCharType="begin"/>
            </w:r>
            <w:r w:rsidR="00866D37">
              <w:rPr>
                <w:noProof/>
                <w:webHidden/>
              </w:rPr>
              <w:instrText xml:space="preserve"> PAGEREF _Toc41558469 \h </w:instrText>
            </w:r>
            <w:r w:rsidR="00866D37">
              <w:rPr>
                <w:noProof/>
                <w:webHidden/>
              </w:rPr>
            </w:r>
            <w:r w:rsidR="00866D37">
              <w:rPr>
                <w:noProof/>
                <w:webHidden/>
              </w:rPr>
              <w:fldChar w:fldCharType="separate"/>
            </w:r>
            <w:r w:rsidR="00BB28FF">
              <w:rPr>
                <w:noProof/>
                <w:webHidden/>
              </w:rPr>
              <w:t>15</w:t>
            </w:r>
            <w:r w:rsidR="00866D37">
              <w:rPr>
                <w:noProof/>
                <w:webHidden/>
              </w:rPr>
              <w:fldChar w:fldCharType="end"/>
            </w:r>
          </w:hyperlink>
        </w:p>
        <w:p w14:paraId="5492808A" w14:textId="4AC56CE8" w:rsidR="00866D37" w:rsidRDefault="002D27BD">
          <w:pPr>
            <w:pStyle w:val="TOC1"/>
            <w:tabs>
              <w:tab w:val="right" w:leader="dot" w:pos="9350"/>
            </w:tabs>
            <w:rPr>
              <w:rFonts w:eastAsiaTheme="minorEastAsia"/>
              <w:noProof/>
            </w:rPr>
          </w:pPr>
          <w:hyperlink w:anchor="_Toc41558470" w:history="1">
            <w:r w:rsidR="00866D37" w:rsidRPr="00796AEE">
              <w:rPr>
                <w:rStyle w:val="Hyperlink"/>
                <w:noProof/>
                <w:lang w:val="en-GB"/>
              </w:rPr>
              <w:t>Annex 3: CVA for nutrition outcomes in times of COVID 19</w:t>
            </w:r>
            <w:r w:rsidR="00866D37">
              <w:rPr>
                <w:noProof/>
                <w:webHidden/>
              </w:rPr>
              <w:tab/>
            </w:r>
            <w:r w:rsidR="00866D37">
              <w:rPr>
                <w:noProof/>
                <w:webHidden/>
              </w:rPr>
              <w:fldChar w:fldCharType="begin"/>
            </w:r>
            <w:r w:rsidR="00866D37">
              <w:rPr>
                <w:noProof/>
                <w:webHidden/>
              </w:rPr>
              <w:instrText xml:space="preserve"> PAGEREF _Toc41558470 \h </w:instrText>
            </w:r>
            <w:r w:rsidR="00866D37">
              <w:rPr>
                <w:noProof/>
                <w:webHidden/>
              </w:rPr>
            </w:r>
            <w:r w:rsidR="00866D37">
              <w:rPr>
                <w:noProof/>
                <w:webHidden/>
              </w:rPr>
              <w:fldChar w:fldCharType="separate"/>
            </w:r>
            <w:r w:rsidR="00BB28FF">
              <w:rPr>
                <w:noProof/>
                <w:webHidden/>
              </w:rPr>
              <w:t>17</w:t>
            </w:r>
            <w:r w:rsidR="00866D37">
              <w:rPr>
                <w:noProof/>
                <w:webHidden/>
              </w:rPr>
              <w:fldChar w:fldCharType="end"/>
            </w:r>
          </w:hyperlink>
        </w:p>
        <w:p w14:paraId="5C0D64B6" w14:textId="640D45BE" w:rsidR="000304FF" w:rsidRDefault="000304FF" w:rsidP="00566ABA">
          <w:pPr>
            <w:jc w:val="both"/>
            <w:rPr>
              <w:bCs/>
              <w:noProof/>
              <w:lang w:val="en-GB"/>
            </w:rPr>
          </w:pPr>
          <w:r w:rsidRPr="00BA41E1">
            <w:rPr>
              <w:b/>
              <w:bCs/>
              <w:noProof/>
              <w:lang w:val="en-GB"/>
            </w:rPr>
            <w:fldChar w:fldCharType="end"/>
          </w:r>
        </w:p>
      </w:sdtContent>
    </w:sdt>
    <w:p w14:paraId="788AB598" w14:textId="16810187" w:rsidR="004D2F0D" w:rsidRPr="00BA41E1" w:rsidRDefault="004D2F0D" w:rsidP="00566ABA">
      <w:pPr>
        <w:pStyle w:val="Heading1"/>
        <w:jc w:val="both"/>
        <w:rPr>
          <w:lang w:val="en-GB"/>
        </w:rPr>
      </w:pPr>
      <w:bookmarkStart w:id="1" w:name="_Toc41558459"/>
      <w:r w:rsidRPr="00BA41E1">
        <w:rPr>
          <w:lang w:val="en-GB"/>
        </w:rPr>
        <w:lastRenderedPageBreak/>
        <w:t>Introduction</w:t>
      </w:r>
      <w:bookmarkEnd w:id="1"/>
    </w:p>
    <w:p w14:paraId="7C658559" w14:textId="77777777" w:rsidR="004D2F0D" w:rsidRPr="00BA41E1" w:rsidRDefault="004D2F0D" w:rsidP="00566ABA">
      <w:pPr>
        <w:jc w:val="both"/>
        <w:rPr>
          <w:i/>
          <w:iCs/>
          <w:lang w:val="en-GB"/>
        </w:rPr>
      </w:pPr>
      <w:r w:rsidRPr="00BA41E1">
        <w:rPr>
          <w:i/>
          <w:iCs/>
          <w:lang w:val="en-GB"/>
        </w:rPr>
        <w:t>Background</w:t>
      </w:r>
    </w:p>
    <w:p w14:paraId="5E0D2D43" w14:textId="341B57D2" w:rsidR="00EE5317" w:rsidRPr="00BA41E1" w:rsidRDefault="00EE5317" w:rsidP="00566ABA">
      <w:pPr>
        <w:jc w:val="both"/>
        <w:rPr>
          <w:lang w:val="en-GB"/>
        </w:rPr>
      </w:pPr>
      <w:r w:rsidRPr="00BA41E1">
        <w:rPr>
          <w:lang w:val="en-GB"/>
        </w:rPr>
        <w:t>The Global Nutrition Cluster is in the process of developing a</w:t>
      </w:r>
      <w:r w:rsidR="00281504" w:rsidRPr="00BA41E1">
        <w:rPr>
          <w:lang w:val="en-GB"/>
        </w:rPr>
        <w:t>n evidence and</w:t>
      </w:r>
      <w:r w:rsidRPr="00BA41E1">
        <w:rPr>
          <w:lang w:val="en-GB"/>
        </w:rPr>
        <w:t xml:space="preserve"> guidance note on the use of cash and voucher assistance (CVA) for nutrition outcomes. As part of this guidance note, the operational experience and learning of humanitarian actors on this topic should be reflected and included. For this reason, the GNC plans to conduct up to three case studies. The findings of the case studies will be directly integrated into the guidance note on the use of CVA for nutrition outcomes. </w:t>
      </w:r>
    </w:p>
    <w:p w14:paraId="40B669B6" w14:textId="42BDEEC7" w:rsidR="00E14A5D" w:rsidRPr="00BA41E1" w:rsidRDefault="00EE5317" w:rsidP="00566ABA">
      <w:pPr>
        <w:jc w:val="both"/>
        <w:rPr>
          <w:lang w:val="en-GB"/>
        </w:rPr>
      </w:pPr>
      <w:r w:rsidRPr="00BA41E1">
        <w:rPr>
          <w:lang w:val="en-GB"/>
        </w:rPr>
        <w:t xml:space="preserve">The Nutrition Cluster Coordination Team and partners in Nigeria has expressed interest to accommodate one of the case studies on the use of CVA for nutrition outcomes. </w:t>
      </w:r>
      <w:r w:rsidR="00E14A5D" w:rsidRPr="00BA41E1">
        <w:rPr>
          <w:lang w:val="en-GB"/>
        </w:rPr>
        <w:t>The nutrition situation in Nigeria, particularly in the North-East of the country, remains extremely worrying</w:t>
      </w:r>
      <w:r w:rsidR="00E14A5D" w:rsidRPr="00BA41E1">
        <w:rPr>
          <w:rStyle w:val="FootnoteReference"/>
          <w:lang w:val="en-GB"/>
        </w:rPr>
        <w:footnoteReference w:id="1"/>
      </w:r>
      <w:r w:rsidR="00E14A5D" w:rsidRPr="00BA41E1">
        <w:rPr>
          <w:lang w:val="en-GB"/>
        </w:rPr>
        <w:t>. The main objectives of the nutrition sector in 2020 are to strengthen the quality and scale of preventative and curative nutrition services for most vulnerable groups through systematic identification, referral, and treatment of acutely malnourished, supplementary feeding, promotion of appropriate infant and young child feeding practices, micronutrient supplementation and optimal maternal nutrition</w:t>
      </w:r>
      <w:r w:rsidR="00BD1B49">
        <w:rPr>
          <w:rStyle w:val="FootnoteReference"/>
          <w:lang w:val="en-GB"/>
        </w:rPr>
        <w:footnoteReference w:id="2"/>
      </w:r>
      <w:r w:rsidR="00E14A5D" w:rsidRPr="00BA41E1">
        <w:rPr>
          <w:lang w:val="en-GB"/>
        </w:rPr>
        <w:t>. There is a strong interest to better explore the potential of CVA modalities in preventative and curative strategies in the context of Nigeria.</w:t>
      </w:r>
    </w:p>
    <w:p w14:paraId="3606C866" w14:textId="77777777" w:rsidR="00A577A9" w:rsidRPr="00BA41E1" w:rsidRDefault="00A577A9" w:rsidP="00566ABA">
      <w:pPr>
        <w:jc w:val="both"/>
        <w:rPr>
          <w:lang w:val="en-GB"/>
        </w:rPr>
      </w:pPr>
      <w:r w:rsidRPr="00BA41E1">
        <w:rPr>
          <w:lang w:val="en-GB"/>
        </w:rPr>
        <w:t xml:space="preserve">The </w:t>
      </w:r>
      <w:r w:rsidRPr="00BA41E1">
        <w:rPr>
          <w:i/>
          <w:iCs/>
          <w:lang w:val="en-GB"/>
        </w:rPr>
        <w:t>objectives</w:t>
      </w:r>
      <w:r w:rsidRPr="00BA41E1">
        <w:rPr>
          <w:lang w:val="en-GB"/>
        </w:rPr>
        <w:t xml:space="preserve"> of the case study include the following: </w:t>
      </w:r>
    </w:p>
    <w:p w14:paraId="3D42B397" w14:textId="77777777" w:rsidR="00A577A9" w:rsidRPr="00BA41E1" w:rsidRDefault="00A577A9" w:rsidP="00566ABA">
      <w:pPr>
        <w:pStyle w:val="ListParagraph"/>
        <w:numPr>
          <w:ilvl w:val="0"/>
          <w:numId w:val="1"/>
        </w:numPr>
        <w:jc w:val="both"/>
        <w:rPr>
          <w:lang w:val="en-GB"/>
        </w:rPr>
      </w:pPr>
      <w:r w:rsidRPr="00BA41E1">
        <w:rPr>
          <w:lang w:val="en-GB"/>
        </w:rPr>
        <w:t xml:space="preserve">Review existing and planned nutrition interventions which have a CVA component, including response analysis / decision-making, objectives, design, risk management, MEAL, etc. </w:t>
      </w:r>
    </w:p>
    <w:p w14:paraId="42F08D15" w14:textId="77777777" w:rsidR="00A577A9" w:rsidRPr="00BA41E1" w:rsidRDefault="00A577A9" w:rsidP="00566ABA">
      <w:pPr>
        <w:pStyle w:val="ListParagraph"/>
        <w:numPr>
          <w:ilvl w:val="0"/>
          <w:numId w:val="1"/>
        </w:numPr>
        <w:jc w:val="both"/>
        <w:rPr>
          <w:lang w:val="en-GB"/>
        </w:rPr>
      </w:pPr>
      <w:r w:rsidRPr="00BA41E1">
        <w:rPr>
          <w:lang w:val="en-GB"/>
        </w:rPr>
        <w:t>Review tools used as part of these interventions</w:t>
      </w:r>
    </w:p>
    <w:p w14:paraId="216147AE" w14:textId="1B2B4416" w:rsidR="00A577A9" w:rsidRPr="00BA41E1" w:rsidRDefault="00A577A9" w:rsidP="00566ABA">
      <w:pPr>
        <w:pStyle w:val="ListParagraph"/>
        <w:numPr>
          <w:ilvl w:val="0"/>
          <w:numId w:val="1"/>
        </w:numPr>
        <w:jc w:val="both"/>
        <w:rPr>
          <w:lang w:val="en-GB"/>
        </w:rPr>
      </w:pPr>
      <w:r w:rsidRPr="00BA41E1">
        <w:rPr>
          <w:lang w:val="en-GB"/>
        </w:rPr>
        <w:t>Review the nutrition-sensitivity of the</w:t>
      </w:r>
      <w:r w:rsidR="00615BF3">
        <w:rPr>
          <w:lang w:val="en-GB"/>
        </w:rPr>
        <w:t xml:space="preserve"> minimum expenditure basket</w:t>
      </w:r>
      <w:r w:rsidRPr="00BA41E1">
        <w:rPr>
          <w:lang w:val="en-GB"/>
        </w:rPr>
        <w:t xml:space="preserve"> </w:t>
      </w:r>
      <w:r w:rsidR="00615BF3">
        <w:rPr>
          <w:lang w:val="en-GB"/>
        </w:rPr>
        <w:t>(</w:t>
      </w:r>
      <w:r w:rsidRPr="00BA41E1">
        <w:rPr>
          <w:lang w:val="en-GB"/>
        </w:rPr>
        <w:t>MEB</w:t>
      </w:r>
      <w:r w:rsidR="00615BF3">
        <w:rPr>
          <w:lang w:val="en-GB"/>
        </w:rPr>
        <w:t>)</w:t>
      </w:r>
      <w:r w:rsidRPr="00BA41E1">
        <w:rPr>
          <w:lang w:val="en-GB"/>
        </w:rPr>
        <w:t xml:space="preserve"> and existing multi-purpose cash interventions</w:t>
      </w:r>
    </w:p>
    <w:p w14:paraId="2C07AB04" w14:textId="2DB92448" w:rsidR="00A577A9" w:rsidRPr="00BA41E1" w:rsidRDefault="00A577A9" w:rsidP="00566ABA">
      <w:pPr>
        <w:pStyle w:val="ListParagraph"/>
        <w:numPr>
          <w:ilvl w:val="0"/>
          <w:numId w:val="1"/>
        </w:numPr>
        <w:jc w:val="both"/>
        <w:rPr>
          <w:lang w:val="en-GB"/>
        </w:rPr>
      </w:pPr>
      <w:r w:rsidRPr="00BA41E1">
        <w:rPr>
          <w:lang w:val="en-GB"/>
        </w:rPr>
        <w:t xml:space="preserve">To the extent possible, review whether a CVA approach could be used for the treatment of </w:t>
      </w:r>
      <w:r w:rsidR="00615BF3">
        <w:rPr>
          <w:lang w:val="en-GB"/>
        </w:rPr>
        <w:t>moderate acute malnutrition (</w:t>
      </w:r>
      <w:r w:rsidRPr="00BA41E1">
        <w:rPr>
          <w:lang w:val="en-GB"/>
        </w:rPr>
        <w:t>MAM</w:t>
      </w:r>
      <w:r w:rsidR="00615BF3">
        <w:rPr>
          <w:lang w:val="en-GB"/>
        </w:rPr>
        <w:t>)</w:t>
      </w:r>
    </w:p>
    <w:p w14:paraId="3D3872E6" w14:textId="77777777" w:rsidR="00A577A9" w:rsidRPr="00BA41E1" w:rsidRDefault="00A577A9" w:rsidP="00566ABA">
      <w:pPr>
        <w:pStyle w:val="ListParagraph"/>
        <w:numPr>
          <w:ilvl w:val="0"/>
          <w:numId w:val="1"/>
        </w:numPr>
        <w:jc w:val="both"/>
        <w:rPr>
          <w:lang w:val="en-GB"/>
        </w:rPr>
      </w:pPr>
      <w:r w:rsidRPr="00BA41E1">
        <w:rPr>
          <w:lang w:val="en-GB"/>
        </w:rPr>
        <w:t>Document how CVA is being integrated into nutrition responses and results</w:t>
      </w:r>
    </w:p>
    <w:p w14:paraId="399CAF1B" w14:textId="77777777" w:rsidR="00A577A9" w:rsidRPr="00BA41E1" w:rsidRDefault="00A577A9" w:rsidP="00566ABA">
      <w:pPr>
        <w:pStyle w:val="ListParagraph"/>
        <w:numPr>
          <w:ilvl w:val="0"/>
          <w:numId w:val="1"/>
        </w:numPr>
        <w:jc w:val="both"/>
        <w:rPr>
          <w:lang w:val="en-GB"/>
        </w:rPr>
      </w:pPr>
      <w:r w:rsidRPr="00BA41E1">
        <w:rPr>
          <w:lang w:val="en-GB"/>
        </w:rPr>
        <w:t>Document and review the role of the Nutrition Cluster Coordination team in CVA</w:t>
      </w:r>
    </w:p>
    <w:p w14:paraId="4AF67893" w14:textId="77777777" w:rsidR="00A577A9" w:rsidRPr="00BA41E1" w:rsidRDefault="00A577A9" w:rsidP="00566ABA">
      <w:pPr>
        <w:pStyle w:val="ListParagraph"/>
        <w:numPr>
          <w:ilvl w:val="0"/>
          <w:numId w:val="1"/>
        </w:numPr>
        <w:jc w:val="both"/>
        <w:rPr>
          <w:lang w:val="en-GB"/>
        </w:rPr>
      </w:pPr>
      <w:r w:rsidRPr="00BA41E1">
        <w:rPr>
          <w:lang w:val="en-GB"/>
        </w:rPr>
        <w:t>If possible, identify opportunities to improve and/or expand the use of CVA for nutrition outcomes</w:t>
      </w:r>
    </w:p>
    <w:p w14:paraId="6C7C6A1A" w14:textId="77777777" w:rsidR="00A577A9" w:rsidRPr="00BA41E1" w:rsidRDefault="00A577A9" w:rsidP="00566ABA">
      <w:pPr>
        <w:pStyle w:val="ListParagraph"/>
        <w:numPr>
          <w:ilvl w:val="0"/>
          <w:numId w:val="1"/>
        </w:numPr>
        <w:jc w:val="both"/>
        <w:rPr>
          <w:lang w:val="en-GB"/>
        </w:rPr>
      </w:pPr>
      <w:r w:rsidRPr="00BA41E1">
        <w:rPr>
          <w:lang w:val="en-GB"/>
        </w:rPr>
        <w:t>Facilitate exchange of experiences between partners</w:t>
      </w:r>
    </w:p>
    <w:p w14:paraId="7BFF6B51" w14:textId="77777777" w:rsidR="00A577A9" w:rsidRPr="00BA41E1" w:rsidRDefault="00A577A9" w:rsidP="00566ABA">
      <w:pPr>
        <w:pStyle w:val="ListParagraph"/>
        <w:numPr>
          <w:ilvl w:val="0"/>
          <w:numId w:val="1"/>
        </w:numPr>
        <w:jc w:val="both"/>
        <w:rPr>
          <w:lang w:val="en-GB"/>
        </w:rPr>
      </w:pPr>
      <w:r w:rsidRPr="00BA41E1">
        <w:rPr>
          <w:lang w:val="en-GB"/>
        </w:rPr>
        <w:t>Generate lessons learned and best practice</w:t>
      </w:r>
    </w:p>
    <w:p w14:paraId="6143818E" w14:textId="32B1A1BE" w:rsidR="00281504" w:rsidRDefault="00281504" w:rsidP="00566ABA">
      <w:pPr>
        <w:jc w:val="both"/>
        <w:rPr>
          <w:i/>
          <w:iCs/>
          <w:lang w:val="en-GB"/>
        </w:rPr>
      </w:pPr>
    </w:p>
    <w:p w14:paraId="7308FF5B" w14:textId="77777777" w:rsidR="00615BF3" w:rsidRPr="00BA41E1" w:rsidRDefault="00615BF3" w:rsidP="00566ABA">
      <w:pPr>
        <w:jc w:val="both"/>
        <w:rPr>
          <w:i/>
          <w:iCs/>
          <w:lang w:val="en-GB"/>
        </w:rPr>
      </w:pPr>
    </w:p>
    <w:p w14:paraId="10C4F6A5" w14:textId="14FA4C08" w:rsidR="004D2F0D" w:rsidRPr="00BA41E1" w:rsidRDefault="004D2F0D" w:rsidP="00566ABA">
      <w:pPr>
        <w:jc w:val="both"/>
        <w:rPr>
          <w:i/>
          <w:iCs/>
          <w:lang w:val="en-GB"/>
        </w:rPr>
      </w:pPr>
      <w:r w:rsidRPr="00BA41E1">
        <w:rPr>
          <w:i/>
          <w:iCs/>
          <w:lang w:val="en-GB"/>
        </w:rPr>
        <w:lastRenderedPageBreak/>
        <w:t>Methodology</w:t>
      </w:r>
    </w:p>
    <w:p w14:paraId="582E0B0A" w14:textId="77777777" w:rsidR="00281504" w:rsidRPr="00BA41E1" w:rsidRDefault="00281504" w:rsidP="00566ABA">
      <w:pPr>
        <w:jc w:val="both"/>
        <w:rPr>
          <w:lang w:val="en-GB"/>
        </w:rPr>
      </w:pPr>
      <w:r w:rsidRPr="00BA41E1">
        <w:rPr>
          <w:lang w:val="en-GB"/>
        </w:rPr>
        <w:t>The GNC cash advisor was meant to visit Nigeria, Maiduguri, in March to conduct interviews with partners, review project documentation and facilitate a learning workshop. Unfortunately, the visit had to be cancelled due to travel restrictions related to the ongoing pandemic. Consequently, key informant interviews with key partners (AAH</w:t>
      </w:r>
      <w:r w:rsidR="004D2F0D" w:rsidRPr="00BA41E1">
        <w:rPr>
          <w:lang w:val="en-GB"/>
        </w:rPr>
        <w:t xml:space="preserve">, </w:t>
      </w:r>
      <w:r w:rsidRPr="00BA41E1">
        <w:rPr>
          <w:lang w:val="en-GB"/>
        </w:rPr>
        <w:t xml:space="preserve">WFP, Nutrition Cluster, IMC, </w:t>
      </w:r>
      <w:r w:rsidR="004D2F0D" w:rsidRPr="00BA41E1">
        <w:rPr>
          <w:lang w:val="en-GB"/>
        </w:rPr>
        <w:t>ICRC</w:t>
      </w:r>
      <w:r w:rsidRPr="00BA41E1">
        <w:rPr>
          <w:lang w:val="en-GB"/>
        </w:rPr>
        <w:t xml:space="preserve">) were conducted remotely. </w:t>
      </w:r>
    </w:p>
    <w:p w14:paraId="6F36C0ED" w14:textId="137D7ED6" w:rsidR="004D2F0D" w:rsidRPr="00BA41E1" w:rsidRDefault="00281504" w:rsidP="00566ABA">
      <w:pPr>
        <w:jc w:val="both"/>
        <w:rPr>
          <w:lang w:val="en-GB"/>
        </w:rPr>
      </w:pPr>
      <w:r w:rsidRPr="00BA41E1">
        <w:rPr>
          <w:lang w:val="en-GB"/>
        </w:rPr>
        <w:t xml:space="preserve">Table 1 provides an overview on ‘nutrition projects’ with a CVA component and on the </w:t>
      </w:r>
      <w:r w:rsidR="0038250E" w:rsidRPr="00BA41E1">
        <w:rPr>
          <w:lang w:val="en-GB"/>
        </w:rPr>
        <w:t>project documentation</w:t>
      </w:r>
      <w:r w:rsidRPr="00BA41E1">
        <w:rPr>
          <w:lang w:val="en-GB"/>
        </w:rPr>
        <w:t xml:space="preserve"> reviewed as part of this case study.</w:t>
      </w:r>
    </w:p>
    <w:tbl>
      <w:tblPr>
        <w:tblStyle w:val="TableGrid"/>
        <w:tblW w:w="0" w:type="auto"/>
        <w:tblLook w:val="04A0" w:firstRow="1" w:lastRow="0" w:firstColumn="1" w:lastColumn="0" w:noHBand="0" w:noVBand="1"/>
      </w:tblPr>
      <w:tblGrid>
        <w:gridCol w:w="1260"/>
        <w:gridCol w:w="1255"/>
        <w:gridCol w:w="1350"/>
        <w:gridCol w:w="2970"/>
        <w:gridCol w:w="2515"/>
      </w:tblGrid>
      <w:tr w:rsidR="001B340D" w:rsidRPr="00BA41E1" w14:paraId="3DF36ECF" w14:textId="77777777" w:rsidTr="00CE0A84">
        <w:tc>
          <w:tcPr>
            <w:tcW w:w="1260" w:type="dxa"/>
          </w:tcPr>
          <w:p w14:paraId="295B5A58" w14:textId="77777777" w:rsidR="001B340D" w:rsidRPr="00BA41E1" w:rsidRDefault="001B340D" w:rsidP="00566ABA">
            <w:pPr>
              <w:jc w:val="both"/>
              <w:rPr>
                <w:b/>
                <w:bCs/>
                <w:sz w:val="20"/>
                <w:szCs w:val="20"/>
                <w:lang w:val="en-GB"/>
              </w:rPr>
            </w:pPr>
            <w:r w:rsidRPr="00BA41E1">
              <w:rPr>
                <w:b/>
                <w:bCs/>
                <w:sz w:val="20"/>
                <w:szCs w:val="20"/>
                <w:lang w:val="en-GB"/>
              </w:rPr>
              <w:t>Org.</w:t>
            </w:r>
          </w:p>
        </w:tc>
        <w:tc>
          <w:tcPr>
            <w:tcW w:w="1255" w:type="dxa"/>
          </w:tcPr>
          <w:p w14:paraId="30A5B00C" w14:textId="77777777" w:rsidR="001B340D" w:rsidRPr="00BA41E1" w:rsidRDefault="001B340D" w:rsidP="00566ABA">
            <w:pPr>
              <w:jc w:val="both"/>
              <w:rPr>
                <w:b/>
                <w:bCs/>
                <w:sz w:val="20"/>
                <w:szCs w:val="20"/>
                <w:lang w:val="en-GB"/>
              </w:rPr>
            </w:pPr>
            <w:r w:rsidRPr="00BA41E1">
              <w:rPr>
                <w:b/>
                <w:bCs/>
                <w:sz w:val="20"/>
                <w:szCs w:val="20"/>
                <w:lang w:val="en-GB"/>
              </w:rPr>
              <w:t>Duration</w:t>
            </w:r>
          </w:p>
        </w:tc>
        <w:tc>
          <w:tcPr>
            <w:tcW w:w="1350" w:type="dxa"/>
          </w:tcPr>
          <w:p w14:paraId="5958B6DF" w14:textId="47BA3B22" w:rsidR="00E463B1" w:rsidRPr="00BA41E1" w:rsidRDefault="001B340D" w:rsidP="00566ABA">
            <w:pPr>
              <w:jc w:val="both"/>
              <w:rPr>
                <w:b/>
                <w:bCs/>
                <w:sz w:val="20"/>
                <w:szCs w:val="20"/>
                <w:lang w:val="en-GB"/>
              </w:rPr>
            </w:pPr>
            <w:r w:rsidRPr="00BA41E1">
              <w:rPr>
                <w:b/>
                <w:bCs/>
                <w:sz w:val="20"/>
                <w:szCs w:val="20"/>
                <w:lang w:val="en-GB"/>
              </w:rPr>
              <w:t>State</w:t>
            </w:r>
            <w:r w:rsidR="00491CD8" w:rsidRPr="00BA41E1">
              <w:rPr>
                <w:b/>
                <w:bCs/>
                <w:sz w:val="20"/>
                <w:szCs w:val="20"/>
                <w:lang w:val="en-GB"/>
              </w:rPr>
              <w:t>s</w:t>
            </w:r>
          </w:p>
          <w:p w14:paraId="4CC0F9ED" w14:textId="68E5F79A" w:rsidR="001B340D" w:rsidRPr="00BA41E1" w:rsidRDefault="001B340D" w:rsidP="00566ABA">
            <w:pPr>
              <w:jc w:val="both"/>
              <w:rPr>
                <w:b/>
                <w:bCs/>
                <w:i/>
                <w:iCs/>
                <w:sz w:val="20"/>
                <w:szCs w:val="20"/>
                <w:lang w:val="en-GB"/>
              </w:rPr>
            </w:pPr>
            <w:r w:rsidRPr="00BA41E1">
              <w:rPr>
                <w:b/>
                <w:bCs/>
                <w:i/>
                <w:iCs/>
                <w:sz w:val="20"/>
                <w:szCs w:val="20"/>
                <w:lang w:val="en-GB"/>
              </w:rPr>
              <w:t>LGA</w:t>
            </w:r>
            <w:r w:rsidR="00491CD8" w:rsidRPr="00BA41E1">
              <w:rPr>
                <w:b/>
                <w:bCs/>
                <w:i/>
                <w:iCs/>
                <w:sz w:val="20"/>
                <w:szCs w:val="20"/>
                <w:lang w:val="en-GB"/>
              </w:rPr>
              <w:t>s</w:t>
            </w:r>
          </w:p>
        </w:tc>
        <w:tc>
          <w:tcPr>
            <w:tcW w:w="2970" w:type="dxa"/>
          </w:tcPr>
          <w:p w14:paraId="5F5F7A2C" w14:textId="0DBDFDDF" w:rsidR="001B340D" w:rsidRPr="00BA41E1" w:rsidRDefault="001B340D" w:rsidP="00566ABA">
            <w:pPr>
              <w:jc w:val="both"/>
              <w:rPr>
                <w:b/>
                <w:bCs/>
                <w:sz w:val="20"/>
                <w:szCs w:val="20"/>
                <w:lang w:val="en-GB"/>
              </w:rPr>
            </w:pPr>
            <w:r w:rsidRPr="00BA41E1">
              <w:rPr>
                <w:b/>
                <w:bCs/>
                <w:sz w:val="20"/>
                <w:szCs w:val="20"/>
                <w:lang w:val="en-GB"/>
              </w:rPr>
              <w:t>Project</w:t>
            </w:r>
          </w:p>
        </w:tc>
        <w:tc>
          <w:tcPr>
            <w:tcW w:w="2515" w:type="dxa"/>
          </w:tcPr>
          <w:p w14:paraId="6CDEE491" w14:textId="6D397E45" w:rsidR="001B340D" w:rsidRPr="00BA41E1" w:rsidRDefault="001B340D" w:rsidP="00566ABA">
            <w:pPr>
              <w:jc w:val="both"/>
              <w:rPr>
                <w:b/>
                <w:bCs/>
                <w:sz w:val="20"/>
                <w:szCs w:val="20"/>
                <w:lang w:val="en-GB"/>
              </w:rPr>
            </w:pPr>
            <w:r w:rsidRPr="00BA41E1">
              <w:rPr>
                <w:b/>
                <w:bCs/>
                <w:sz w:val="20"/>
                <w:szCs w:val="20"/>
                <w:lang w:val="en-GB"/>
              </w:rPr>
              <w:t>Documents reviewed</w:t>
            </w:r>
          </w:p>
        </w:tc>
      </w:tr>
      <w:tr w:rsidR="001B340D" w:rsidRPr="00BA41E1" w14:paraId="37D83620" w14:textId="77777777" w:rsidTr="00CE0A84">
        <w:tc>
          <w:tcPr>
            <w:tcW w:w="1260" w:type="dxa"/>
          </w:tcPr>
          <w:p w14:paraId="139336E9" w14:textId="51EAE480" w:rsidR="001B340D" w:rsidRPr="00BA41E1" w:rsidRDefault="0038250E" w:rsidP="00566ABA">
            <w:pPr>
              <w:jc w:val="both"/>
              <w:rPr>
                <w:sz w:val="20"/>
                <w:szCs w:val="20"/>
                <w:lang w:val="en-GB"/>
              </w:rPr>
            </w:pPr>
            <w:r w:rsidRPr="00BA41E1">
              <w:rPr>
                <w:sz w:val="20"/>
                <w:szCs w:val="20"/>
                <w:lang w:val="en-GB"/>
              </w:rPr>
              <w:t>AAH (Action Against Hunger)</w:t>
            </w:r>
          </w:p>
        </w:tc>
        <w:tc>
          <w:tcPr>
            <w:tcW w:w="1255" w:type="dxa"/>
          </w:tcPr>
          <w:p w14:paraId="11AE4A23" w14:textId="77777777" w:rsidR="001B340D" w:rsidRPr="00BA41E1" w:rsidRDefault="001B340D" w:rsidP="00566ABA">
            <w:pPr>
              <w:jc w:val="both"/>
              <w:rPr>
                <w:sz w:val="20"/>
                <w:szCs w:val="20"/>
                <w:lang w:val="en-GB"/>
              </w:rPr>
            </w:pPr>
            <w:r w:rsidRPr="00BA41E1">
              <w:rPr>
                <w:sz w:val="20"/>
                <w:szCs w:val="20"/>
                <w:lang w:val="en-GB"/>
              </w:rPr>
              <w:t>2016 to 2017</w:t>
            </w:r>
          </w:p>
        </w:tc>
        <w:tc>
          <w:tcPr>
            <w:tcW w:w="1350" w:type="dxa"/>
          </w:tcPr>
          <w:p w14:paraId="1677CEFC" w14:textId="77777777" w:rsidR="001B340D" w:rsidRPr="00BA41E1" w:rsidRDefault="00E463B1" w:rsidP="00566ABA">
            <w:pPr>
              <w:jc w:val="both"/>
              <w:rPr>
                <w:sz w:val="20"/>
                <w:szCs w:val="20"/>
                <w:lang w:val="en-GB"/>
              </w:rPr>
            </w:pPr>
            <w:r w:rsidRPr="00BA41E1">
              <w:rPr>
                <w:sz w:val="20"/>
                <w:szCs w:val="20"/>
                <w:lang w:val="en-GB"/>
              </w:rPr>
              <w:t>Yobe</w:t>
            </w:r>
          </w:p>
          <w:p w14:paraId="2A5670F6" w14:textId="0C93A043" w:rsidR="00E463B1" w:rsidRPr="00BA41E1" w:rsidRDefault="00E463B1" w:rsidP="00566ABA">
            <w:pPr>
              <w:jc w:val="both"/>
              <w:rPr>
                <w:sz w:val="20"/>
                <w:szCs w:val="20"/>
                <w:lang w:val="en-GB"/>
              </w:rPr>
            </w:pPr>
          </w:p>
        </w:tc>
        <w:tc>
          <w:tcPr>
            <w:tcW w:w="2970" w:type="dxa"/>
          </w:tcPr>
          <w:p w14:paraId="665ECABF" w14:textId="56DE5457" w:rsidR="001B340D" w:rsidRPr="00BA41E1" w:rsidRDefault="001B340D" w:rsidP="00566ABA">
            <w:pPr>
              <w:jc w:val="both"/>
              <w:rPr>
                <w:sz w:val="20"/>
                <w:szCs w:val="20"/>
                <w:lang w:val="en-GB"/>
              </w:rPr>
            </w:pPr>
            <w:r w:rsidRPr="00BA41E1">
              <w:rPr>
                <w:sz w:val="20"/>
                <w:szCs w:val="20"/>
                <w:lang w:val="en-GB"/>
              </w:rPr>
              <w:t>Protecting and promoting the food and nutrition security in the Yobe State, Phase II</w:t>
            </w:r>
          </w:p>
        </w:tc>
        <w:tc>
          <w:tcPr>
            <w:tcW w:w="2515" w:type="dxa"/>
          </w:tcPr>
          <w:p w14:paraId="5D94FDC4" w14:textId="304810AB" w:rsidR="001B340D" w:rsidRPr="00BA41E1" w:rsidRDefault="002D27BD" w:rsidP="00566ABA">
            <w:pPr>
              <w:jc w:val="both"/>
              <w:rPr>
                <w:sz w:val="20"/>
                <w:szCs w:val="20"/>
                <w:lang w:val="en-GB"/>
              </w:rPr>
            </w:pPr>
            <w:hyperlink r:id="rId11" w:history="1">
              <w:r w:rsidR="001B340D" w:rsidRPr="00BA41E1">
                <w:rPr>
                  <w:rStyle w:val="Hyperlink"/>
                  <w:sz w:val="20"/>
                  <w:szCs w:val="20"/>
                  <w:lang w:val="en-GB"/>
                </w:rPr>
                <w:t>Final evaluation report</w:t>
              </w:r>
            </w:hyperlink>
          </w:p>
        </w:tc>
      </w:tr>
      <w:tr w:rsidR="00E463B1" w:rsidRPr="00BA41E1" w14:paraId="452C2166" w14:textId="77777777" w:rsidTr="00CE0A84">
        <w:tc>
          <w:tcPr>
            <w:tcW w:w="1260" w:type="dxa"/>
          </w:tcPr>
          <w:p w14:paraId="4AB13119" w14:textId="20C43796" w:rsidR="00E463B1" w:rsidRPr="00BA41E1" w:rsidRDefault="0038250E" w:rsidP="00566ABA">
            <w:pPr>
              <w:jc w:val="both"/>
              <w:rPr>
                <w:sz w:val="20"/>
                <w:szCs w:val="20"/>
                <w:lang w:val="en-GB"/>
              </w:rPr>
            </w:pPr>
            <w:r w:rsidRPr="00BA41E1">
              <w:rPr>
                <w:sz w:val="20"/>
                <w:szCs w:val="20"/>
                <w:lang w:val="en-GB"/>
              </w:rPr>
              <w:t>AAH</w:t>
            </w:r>
          </w:p>
        </w:tc>
        <w:tc>
          <w:tcPr>
            <w:tcW w:w="1255" w:type="dxa"/>
          </w:tcPr>
          <w:p w14:paraId="0AB56D1E" w14:textId="77777777" w:rsidR="00E463B1" w:rsidRPr="00BA41E1" w:rsidRDefault="00E463B1" w:rsidP="00566ABA">
            <w:pPr>
              <w:jc w:val="both"/>
              <w:rPr>
                <w:sz w:val="20"/>
                <w:szCs w:val="20"/>
                <w:lang w:val="en-GB"/>
              </w:rPr>
            </w:pPr>
            <w:r w:rsidRPr="00BA41E1">
              <w:rPr>
                <w:sz w:val="20"/>
                <w:szCs w:val="20"/>
                <w:lang w:val="en-GB"/>
              </w:rPr>
              <w:t>2018 to 2019</w:t>
            </w:r>
          </w:p>
        </w:tc>
        <w:tc>
          <w:tcPr>
            <w:tcW w:w="1350" w:type="dxa"/>
          </w:tcPr>
          <w:p w14:paraId="6D27D3FD" w14:textId="77777777" w:rsidR="00E463B1" w:rsidRPr="00BA41E1" w:rsidRDefault="00E463B1" w:rsidP="00566ABA">
            <w:pPr>
              <w:jc w:val="both"/>
              <w:rPr>
                <w:sz w:val="20"/>
                <w:szCs w:val="20"/>
                <w:lang w:val="en-GB"/>
              </w:rPr>
            </w:pPr>
            <w:r w:rsidRPr="00BA41E1">
              <w:rPr>
                <w:sz w:val="20"/>
                <w:szCs w:val="20"/>
                <w:lang w:val="en-GB"/>
              </w:rPr>
              <w:t>Borno</w:t>
            </w:r>
          </w:p>
          <w:p w14:paraId="2BFC84AD" w14:textId="77777777" w:rsidR="00E463B1" w:rsidRPr="00BA41E1" w:rsidRDefault="00E463B1" w:rsidP="00566ABA">
            <w:pPr>
              <w:jc w:val="both"/>
              <w:rPr>
                <w:i/>
                <w:iCs/>
                <w:sz w:val="20"/>
                <w:szCs w:val="20"/>
                <w:lang w:val="en-GB"/>
              </w:rPr>
            </w:pPr>
            <w:r w:rsidRPr="00BA41E1">
              <w:rPr>
                <w:i/>
                <w:iCs/>
                <w:sz w:val="20"/>
                <w:szCs w:val="20"/>
                <w:lang w:val="en-GB"/>
              </w:rPr>
              <w:t>MMC, Yere</w:t>
            </w:r>
          </w:p>
        </w:tc>
        <w:tc>
          <w:tcPr>
            <w:tcW w:w="2970" w:type="dxa"/>
          </w:tcPr>
          <w:p w14:paraId="117AACC1" w14:textId="77777777" w:rsidR="00E463B1" w:rsidRPr="00BA41E1" w:rsidRDefault="00E463B1" w:rsidP="00566ABA">
            <w:pPr>
              <w:jc w:val="both"/>
              <w:rPr>
                <w:sz w:val="20"/>
                <w:szCs w:val="20"/>
                <w:lang w:val="en-GB"/>
              </w:rPr>
            </w:pPr>
            <w:r w:rsidRPr="00BA41E1">
              <w:rPr>
                <w:sz w:val="20"/>
                <w:szCs w:val="20"/>
                <w:lang w:val="en-GB"/>
              </w:rPr>
              <w:t>Improving food and nutrition security in Borno state</w:t>
            </w:r>
          </w:p>
        </w:tc>
        <w:tc>
          <w:tcPr>
            <w:tcW w:w="2515" w:type="dxa"/>
          </w:tcPr>
          <w:p w14:paraId="314FE1FE" w14:textId="1BB0A0C5" w:rsidR="003313CB" w:rsidRPr="00BA41E1" w:rsidRDefault="003313CB" w:rsidP="00566ABA">
            <w:pPr>
              <w:jc w:val="both"/>
              <w:rPr>
                <w:sz w:val="20"/>
                <w:szCs w:val="20"/>
                <w:lang w:val="en-GB"/>
              </w:rPr>
            </w:pPr>
            <w:r w:rsidRPr="00BA41E1">
              <w:rPr>
                <w:sz w:val="20"/>
                <w:szCs w:val="20"/>
                <w:lang w:val="en-GB"/>
              </w:rPr>
              <w:t>Project proposal</w:t>
            </w:r>
            <w:r w:rsidR="00674C4B" w:rsidRPr="00BA41E1">
              <w:rPr>
                <w:sz w:val="20"/>
                <w:szCs w:val="20"/>
                <w:lang w:val="en-GB"/>
              </w:rPr>
              <w:t xml:space="preserve"> (internal)</w:t>
            </w:r>
          </w:p>
          <w:p w14:paraId="630A06E7" w14:textId="43385AB1" w:rsidR="003313CB" w:rsidRPr="00BA41E1" w:rsidRDefault="003313CB" w:rsidP="00566ABA">
            <w:pPr>
              <w:jc w:val="both"/>
              <w:rPr>
                <w:sz w:val="20"/>
                <w:szCs w:val="20"/>
                <w:lang w:val="en-GB"/>
              </w:rPr>
            </w:pPr>
            <w:r w:rsidRPr="00BA41E1">
              <w:rPr>
                <w:sz w:val="20"/>
                <w:szCs w:val="20"/>
                <w:lang w:val="en-GB"/>
              </w:rPr>
              <w:t>Endline report</w:t>
            </w:r>
            <w:r w:rsidR="00674C4B" w:rsidRPr="00BA41E1">
              <w:rPr>
                <w:sz w:val="20"/>
                <w:szCs w:val="20"/>
                <w:lang w:val="en-GB"/>
              </w:rPr>
              <w:t xml:space="preserve"> (internal)</w:t>
            </w:r>
          </w:p>
          <w:p w14:paraId="4754A7C4" w14:textId="7582237B" w:rsidR="003313CB" w:rsidRPr="00BA41E1" w:rsidRDefault="003313CB" w:rsidP="00566ABA">
            <w:pPr>
              <w:jc w:val="both"/>
              <w:rPr>
                <w:sz w:val="20"/>
                <w:szCs w:val="20"/>
                <w:lang w:val="en-GB"/>
              </w:rPr>
            </w:pPr>
            <w:r w:rsidRPr="00BA41E1">
              <w:rPr>
                <w:sz w:val="20"/>
                <w:szCs w:val="20"/>
                <w:lang w:val="en-GB"/>
              </w:rPr>
              <w:t>Final evaluation report</w:t>
            </w:r>
            <w:r w:rsidR="00E14A5D" w:rsidRPr="00BA41E1">
              <w:rPr>
                <w:sz w:val="20"/>
                <w:szCs w:val="20"/>
                <w:lang w:val="en-GB"/>
              </w:rPr>
              <w:t xml:space="preserve"> (internal)</w:t>
            </w:r>
          </w:p>
          <w:p w14:paraId="2A421BAA" w14:textId="3D8568A5" w:rsidR="002C41DA" w:rsidRPr="00BA41E1" w:rsidRDefault="002D27BD" w:rsidP="00566ABA">
            <w:pPr>
              <w:jc w:val="both"/>
              <w:rPr>
                <w:sz w:val="20"/>
                <w:szCs w:val="20"/>
                <w:lang w:val="en-GB"/>
              </w:rPr>
            </w:pPr>
            <w:hyperlink r:id="rId12" w:history="1">
              <w:r w:rsidR="002C41DA" w:rsidRPr="00BA41E1">
                <w:rPr>
                  <w:rStyle w:val="Hyperlink"/>
                  <w:sz w:val="20"/>
                  <w:szCs w:val="20"/>
                  <w:lang w:val="en-GB"/>
                </w:rPr>
                <w:t>Porridge Mom case study</w:t>
              </w:r>
            </w:hyperlink>
          </w:p>
        </w:tc>
      </w:tr>
      <w:tr w:rsidR="001B340D" w:rsidRPr="00BA41E1" w14:paraId="0C53C4FF" w14:textId="77777777" w:rsidTr="00CE0A84">
        <w:tc>
          <w:tcPr>
            <w:tcW w:w="1260" w:type="dxa"/>
          </w:tcPr>
          <w:p w14:paraId="7CA12F01" w14:textId="53D7EFA5" w:rsidR="001B340D" w:rsidRPr="00BA41E1" w:rsidRDefault="0038250E" w:rsidP="00566ABA">
            <w:pPr>
              <w:jc w:val="both"/>
              <w:rPr>
                <w:sz w:val="20"/>
                <w:szCs w:val="20"/>
                <w:lang w:val="en-GB"/>
              </w:rPr>
            </w:pPr>
            <w:r w:rsidRPr="00BA41E1">
              <w:rPr>
                <w:sz w:val="20"/>
                <w:szCs w:val="20"/>
                <w:lang w:val="en-GB"/>
              </w:rPr>
              <w:t>AAH</w:t>
            </w:r>
          </w:p>
        </w:tc>
        <w:tc>
          <w:tcPr>
            <w:tcW w:w="1255" w:type="dxa"/>
          </w:tcPr>
          <w:p w14:paraId="4E954135" w14:textId="77777777" w:rsidR="001B340D" w:rsidRPr="00BA41E1" w:rsidRDefault="001B340D" w:rsidP="00566ABA">
            <w:pPr>
              <w:jc w:val="both"/>
              <w:rPr>
                <w:sz w:val="20"/>
                <w:szCs w:val="20"/>
                <w:lang w:val="en-GB"/>
              </w:rPr>
            </w:pPr>
            <w:r w:rsidRPr="00BA41E1">
              <w:rPr>
                <w:sz w:val="20"/>
                <w:szCs w:val="20"/>
                <w:lang w:val="en-GB"/>
              </w:rPr>
              <w:t>2019 to 2020</w:t>
            </w:r>
          </w:p>
        </w:tc>
        <w:tc>
          <w:tcPr>
            <w:tcW w:w="1350" w:type="dxa"/>
          </w:tcPr>
          <w:p w14:paraId="5B93B406" w14:textId="301A5E43" w:rsidR="001B340D" w:rsidRPr="00BA41E1" w:rsidRDefault="001612EF" w:rsidP="00566ABA">
            <w:pPr>
              <w:jc w:val="both"/>
              <w:rPr>
                <w:sz w:val="20"/>
                <w:szCs w:val="20"/>
                <w:lang w:val="en-GB"/>
              </w:rPr>
            </w:pPr>
            <w:r w:rsidRPr="00BA41E1">
              <w:rPr>
                <w:sz w:val="20"/>
                <w:szCs w:val="20"/>
                <w:lang w:val="en-GB"/>
              </w:rPr>
              <w:t>Borno, Yobe</w:t>
            </w:r>
          </w:p>
          <w:p w14:paraId="7E9EFA4A" w14:textId="3A270DEB" w:rsidR="00F54A6E" w:rsidRPr="00BA41E1" w:rsidRDefault="00F54A6E" w:rsidP="00566ABA">
            <w:pPr>
              <w:jc w:val="both"/>
              <w:rPr>
                <w:i/>
                <w:iCs/>
                <w:sz w:val="20"/>
                <w:szCs w:val="20"/>
                <w:lang w:val="en-GB"/>
              </w:rPr>
            </w:pPr>
            <w:r w:rsidRPr="00BA41E1">
              <w:rPr>
                <w:i/>
                <w:iCs/>
                <w:sz w:val="20"/>
                <w:szCs w:val="20"/>
                <w:lang w:val="en-GB"/>
              </w:rPr>
              <w:t>Several</w:t>
            </w:r>
          </w:p>
          <w:p w14:paraId="7B07777E" w14:textId="1D40D763" w:rsidR="001612EF" w:rsidRPr="00BA41E1" w:rsidRDefault="001612EF" w:rsidP="00566ABA">
            <w:pPr>
              <w:jc w:val="both"/>
              <w:rPr>
                <w:sz w:val="20"/>
                <w:szCs w:val="20"/>
                <w:lang w:val="en-GB"/>
              </w:rPr>
            </w:pPr>
          </w:p>
        </w:tc>
        <w:tc>
          <w:tcPr>
            <w:tcW w:w="2970" w:type="dxa"/>
          </w:tcPr>
          <w:p w14:paraId="6CBEDD70" w14:textId="513861A9" w:rsidR="001B340D" w:rsidRPr="00BA41E1" w:rsidRDefault="001B340D" w:rsidP="00566ABA">
            <w:pPr>
              <w:jc w:val="both"/>
              <w:rPr>
                <w:sz w:val="20"/>
                <w:szCs w:val="20"/>
                <w:lang w:val="en-GB"/>
              </w:rPr>
            </w:pPr>
            <w:r w:rsidRPr="00BA41E1">
              <w:rPr>
                <w:sz w:val="20"/>
                <w:szCs w:val="20"/>
                <w:lang w:val="en-GB"/>
              </w:rPr>
              <w:t xml:space="preserve">Improving food and nutrition security of conflict affected communities in North East Nigeria. </w:t>
            </w:r>
          </w:p>
        </w:tc>
        <w:tc>
          <w:tcPr>
            <w:tcW w:w="2515" w:type="dxa"/>
          </w:tcPr>
          <w:p w14:paraId="71420201" w14:textId="55C61E03" w:rsidR="001B340D" w:rsidRPr="00BA41E1" w:rsidRDefault="001B340D" w:rsidP="00566ABA">
            <w:pPr>
              <w:jc w:val="both"/>
              <w:rPr>
                <w:sz w:val="20"/>
                <w:szCs w:val="20"/>
                <w:lang w:val="en-GB"/>
              </w:rPr>
            </w:pPr>
            <w:r w:rsidRPr="00BA41E1">
              <w:rPr>
                <w:sz w:val="20"/>
                <w:szCs w:val="20"/>
                <w:lang w:val="en-GB"/>
              </w:rPr>
              <w:t>Project proposal</w:t>
            </w:r>
            <w:r w:rsidR="00674C4B" w:rsidRPr="00BA41E1">
              <w:rPr>
                <w:sz w:val="20"/>
                <w:szCs w:val="20"/>
                <w:lang w:val="en-GB"/>
              </w:rPr>
              <w:t xml:space="preserve"> (internal)</w:t>
            </w:r>
          </w:p>
        </w:tc>
      </w:tr>
      <w:tr w:rsidR="001B340D" w:rsidRPr="00BA41E1" w14:paraId="471C010B" w14:textId="77777777" w:rsidTr="00CE0A84">
        <w:tc>
          <w:tcPr>
            <w:tcW w:w="1260" w:type="dxa"/>
          </w:tcPr>
          <w:p w14:paraId="04B91C05" w14:textId="77777777" w:rsidR="001B340D" w:rsidRPr="00BA41E1" w:rsidRDefault="001B340D" w:rsidP="00566ABA">
            <w:pPr>
              <w:jc w:val="both"/>
              <w:rPr>
                <w:sz w:val="20"/>
                <w:szCs w:val="20"/>
                <w:lang w:val="en-GB"/>
              </w:rPr>
            </w:pPr>
            <w:r w:rsidRPr="00BA41E1">
              <w:rPr>
                <w:sz w:val="20"/>
                <w:szCs w:val="20"/>
                <w:lang w:val="en-GB"/>
              </w:rPr>
              <w:t>ICRC</w:t>
            </w:r>
          </w:p>
        </w:tc>
        <w:tc>
          <w:tcPr>
            <w:tcW w:w="1255" w:type="dxa"/>
          </w:tcPr>
          <w:p w14:paraId="4C7493D4" w14:textId="6808CE4A" w:rsidR="001B340D" w:rsidRPr="00BA41E1" w:rsidRDefault="003313CB" w:rsidP="00566ABA">
            <w:pPr>
              <w:jc w:val="both"/>
              <w:rPr>
                <w:sz w:val="20"/>
                <w:szCs w:val="20"/>
                <w:lang w:val="en-GB"/>
              </w:rPr>
            </w:pPr>
            <w:r w:rsidRPr="00BA41E1">
              <w:rPr>
                <w:sz w:val="20"/>
                <w:szCs w:val="20"/>
                <w:lang w:val="en-GB"/>
              </w:rPr>
              <w:t>May 2019 - Dec 2019</w:t>
            </w:r>
          </w:p>
        </w:tc>
        <w:tc>
          <w:tcPr>
            <w:tcW w:w="1350" w:type="dxa"/>
          </w:tcPr>
          <w:p w14:paraId="30BBEF11" w14:textId="6BD88B10" w:rsidR="001B340D" w:rsidRPr="00BA41E1" w:rsidRDefault="00232889" w:rsidP="00566ABA">
            <w:pPr>
              <w:jc w:val="both"/>
              <w:rPr>
                <w:sz w:val="20"/>
                <w:szCs w:val="20"/>
                <w:lang w:val="en-GB"/>
              </w:rPr>
            </w:pPr>
            <w:r w:rsidRPr="00BA41E1">
              <w:rPr>
                <w:sz w:val="20"/>
                <w:szCs w:val="20"/>
                <w:lang w:val="en-GB"/>
              </w:rPr>
              <w:t>Borno</w:t>
            </w:r>
          </w:p>
          <w:p w14:paraId="158878B5" w14:textId="07C0F5EE" w:rsidR="00232889" w:rsidRPr="00BA41E1" w:rsidRDefault="00232889" w:rsidP="00566ABA">
            <w:pPr>
              <w:jc w:val="both"/>
              <w:rPr>
                <w:i/>
                <w:iCs/>
                <w:sz w:val="20"/>
                <w:szCs w:val="20"/>
                <w:lang w:val="en-GB"/>
              </w:rPr>
            </w:pPr>
            <w:r w:rsidRPr="00BA41E1">
              <w:rPr>
                <w:i/>
                <w:iCs/>
                <w:sz w:val="20"/>
                <w:szCs w:val="20"/>
                <w:lang w:val="en-GB"/>
              </w:rPr>
              <w:t>Jere</w:t>
            </w:r>
          </w:p>
        </w:tc>
        <w:tc>
          <w:tcPr>
            <w:tcW w:w="2970" w:type="dxa"/>
          </w:tcPr>
          <w:p w14:paraId="2F5805B5" w14:textId="68801A93" w:rsidR="001B340D" w:rsidRPr="00BA41E1" w:rsidRDefault="001B340D" w:rsidP="00566ABA">
            <w:pPr>
              <w:jc w:val="both"/>
              <w:rPr>
                <w:sz w:val="20"/>
                <w:szCs w:val="20"/>
                <w:lang w:val="en-GB"/>
              </w:rPr>
            </w:pPr>
            <w:r w:rsidRPr="00BA41E1">
              <w:rPr>
                <w:sz w:val="20"/>
                <w:szCs w:val="20"/>
                <w:lang w:val="en-GB"/>
              </w:rPr>
              <w:t>Relief Assistance for the IYCF beneficiaries</w:t>
            </w:r>
          </w:p>
        </w:tc>
        <w:tc>
          <w:tcPr>
            <w:tcW w:w="2515" w:type="dxa"/>
          </w:tcPr>
          <w:p w14:paraId="5EDFB47D" w14:textId="7485F09F" w:rsidR="001B340D" w:rsidRPr="00BA41E1" w:rsidRDefault="001B340D" w:rsidP="00566ABA">
            <w:pPr>
              <w:jc w:val="both"/>
              <w:rPr>
                <w:sz w:val="20"/>
                <w:szCs w:val="20"/>
                <w:lang w:val="en-GB"/>
              </w:rPr>
            </w:pPr>
            <w:r w:rsidRPr="00BA41E1">
              <w:rPr>
                <w:sz w:val="20"/>
                <w:szCs w:val="20"/>
                <w:lang w:val="en-GB"/>
              </w:rPr>
              <w:t>Project Proposal</w:t>
            </w:r>
            <w:r w:rsidR="00674C4B" w:rsidRPr="00BA41E1">
              <w:rPr>
                <w:sz w:val="20"/>
                <w:szCs w:val="20"/>
                <w:lang w:val="en-GB"/>
              </w:rPr>
              <w:t xml:space="preserve"> (internal)</w:t>
            </w:r>
          </w:p>
        </w:tc>
      </w:tr>
      <w:tr w:rsidR="001B340D" w:rsidRPr="00BA41E1" w14:paraId="5057E386" w14:textId="77777777" w:rsidTr="00CE0A84">
        <w:tc>
          <w:tcPr>
            <w:tcW w:w="1260" w:type="dxa"/>
          </w:tcPr>
          <w:p w14:paraId="1860D07A" w14:textId="1841CA19" w:rsidR="001B340D" w:rsidRPr="00BA41E1" w:rsidRDefault="001B340D" w:rsidP="00566ABA">
            <w:pPr>
              <w:jc w:val="both"/>
              <w:rPr>
                <w:sz w:val="20"/>
                <w:szCs w:val="20"/>
                <w:lang w:val="en-GB"/>
              </w:rPr>
            </w:pPr>
            <w:r w:rsidRPr="00BA41E1">
              <w:rPr>
                <w:sz w:val="20"/>
                <w:szCs w:val="20"/>
                <w:lang w:val="en-GB"/>
              </w:rPr>
              <w:t>Consortium</w:t>
            </w:r>
            <w:r w:rsidR="00195C92" w:rsidRPr="00BA41E1">
              <w:rPr>
                <w:sz w:val="20"/>
                <w:szCs w:val="20"/>
                <w:lang w:val="en-GB"/>
              </w:rPr>
              <w:t xml:space="preserve"> (AAH, WFP, UNICEF)</w:t>
            </w:r>
          </w:p>
        </w:tc>
        <w:tc>
          <w:tcPr>
            <w:tcW w:w="1255" w:type="dxa"/>
          </w:tcPr>
          <w:p w14:paraId="552A84C0" w14:textId="411023B7" w:rsidR="001B340D" w:rsidRPr="00BA41E1" w:rsidRDefault="00491CD8" w:rsidP="00566ABA">
            <w:pPr>
              <w:jc w:val="both"/>
              <w:rPr>
                <w:sz w:val="20"/>
                <w:szCs w:val="20"/>
                <w:lang w:val="en-GB"/>
              </w:rPr>
            </w:pPr>
            <w:r w:rsidRPr="00BA41E1">
              <w:rPr>
                <w:sz w:val="20"/>
                <w:szCs w:val="20"/>
                <w:lang w:val="en-GB"/>
              </w:rPr>
              <w:t>2016 to 2017</w:t>
            </w:r>
          </w:p>
        </w:tc>
        <w:tc>
          <w:tcPr>
            <w:tcW w:w="1350" w:type="dxa"/>
          </w:tcPr>
          <w:p w14:paraId="0A21C220" w14:textId="77777777" w:rsidR="001B340D" w:rsidRPr="00BA41E1" w:rsidRDefault="00491CD8" w:rsidP="00566ABA">
            <w:pPr>
              <w:jc w:val="both"/>
              <w:rPr>
                <w:sz w:val="20"/>
                <w:szCs w:val="20"/>
                <w:lang w:val="en-GB"/>
              </w:rPr>
            </w:pPr>
            <w:r w:rsidRPr="00BA41E1">
              <w:rPr>
                <w:sz w:val="20"/>
                <w:szCs w:val="20"/>
                <w:lang w:val="en-GB"/>
              </w:rPr>
              <w:t>Borno</w:t>
            </w:r>
            <w:r w:rsidR="00E463B1" w:rsidRPr="00BA41E1">
              <w:rPr>
                <w:sz w:val="20"/>
                <w:szCs w:val="20"/>
                <w:lang w:val="en-GB"/>
              </w:rPr>
              <w:t xml:space="preserve">, </w:t>
            </w:r>
            <w:r w:rsidRPr="00BA41E1">
              <w:rPr>
                <w:sz w:val="20"/>
                <w:szCs w:val="20"/>
                <w:lang w:val="en-GB"/>
              </w:rPr>
              <w:t>Yobe</w:t>
            </w:r>
          </w:p>
          <w:p w14:paraId="161B7FE3" w14:textId="46521502" w:rsidR="00E463B1" w:rsidRPr="00BA41E1" w:rsidRDefault="00E463B1" w:rsidP="00566ABA">
            <w:pPr>
              <w:jc w:val="both"/>
              <w:rPr>
                <w:sz w:val="20"/>
                <w:szCs w:val="20"/>
                <w:lang w:val="en-GB"/>
              </w:rPr>
            </w:pPr>
          </w:p>
        </w:tc>
        <w:tc>
          <w:tcPr>
            <w:tcW w:w="2970" w:type="dxa"/>
          </w:tcPr>
          <w:p w14:paraId="5B33AEF0" w14:textId="78EC7378" w:rsidR="001B340D" w:rsidRPr="00BA41E1" w:rsidRDefault="00AA6719" w:rsidP="00566ABA">
            <w:pPr>
              <w:jc w:val="both"/>
              <w:rPr>
                <w:sz w:val="20"/>
                <w:szCs w:val="20"/>
                <w:lang w:val="en-GB"/>
              </w:rPr>
            </w:pPr>
            <w:r w:rsidRPr="00BA41E1">
              <w:rPr>
                <w:sz w:val="20"/>
                <w:szCs w:val="20"/>
                <w:lang w:val="en-GB"/>
              </w:rPr>
              <w:t>Integrated basic nutrition response</w:t>
            </w:r>
          </w:p>
        </w:tc>
        <w:tc>
          <w:tcPr>
            <w:tcW w:w="2515" w:type="dxa"/>
          </w:tcPr>
          <w:p w14:paraId="324723CC" w14:textId="2F2CA150" w:rsidR="001B340D" w:rsidRPr="00BA41E1" w:rsidRDefault="002D27BD" w:rsidP="00566ABA">
            <w:pPr>
              <w:jc w:val="both"/>
              <w:rPr>
                <w:sz w:val="20"/>
                <w:szCs w:val="20"/>
                <w:lang w:val="en-GB"/>
              </w:rPr>
            </w:pPr>
            <w:hyperlink r:id="rId13" w:history="1">
              <w:r w:rsidR="001B340D" w:rsidRPr="00BA41E1">
                <w:rPr>
                  <w:rStyle w:val="Hyperlink"/>
                  <w:sz w:val="20"/>
                  <w:szCs w:val="20"/>
                  <w:lang w:val="en-GB"/>
                </w:rPr>
                <w:t>ACF learning doc</w:t>
              </w:r>
              <w:r w:rsidR="0038250E" w:rsidRPr="00BA41E1">
                <w:rPr>
                  <w:rStyle w:val="Hyperlink"/>
                  <w:sz w:val="20"/>
                  <w:szCs w:val="20"/>
                  <w:lang w:val="en-GB"/>
                </w:rPr>
                <w:t>ument</w:t>
              </w:r>
            </w:hyperlink>
          </w:p>
          <w:p w14:paraId="68CB0A52" w14:textId="2B99470A" w:rsidR="001B340D" w:rsidRPr="00BA41E1" w:rsidRDefault="001B340D" w:rsidP="00566ABA">
            <w:pPr>
              <w:jc w:val="both"/>
              <w:rPr>
                <w:sz w:val="20"/>
                <w:szCs w:val="20"/>
                <w:lang w:val="en-GB"/>
              </w:rPr>
            </w:pPr>
          </w:p>
        </w:tc>
      </w:tr>
      <w:tr w:rsidR="001B340D" w:rsidRPr="00BA41E1" w14:paraId="3F906EBA" w14:textId="77777777" w:rsidTr="00CE0A84">
        <w:tc>
          <w:tcPr>
            <w:tcW w:w="1260" w:type="dxa"/>
          </w:tcPr>
          <w:p w14:paraId="56C06F8F" w14:textId="096D9C18" w:rsidR="001B340D" w:rsidRPr="00BA41E1" w:rsidRDefault="001B340D" w:rsidP="00566ABA">
            <w:pPr>
              <w:jc w:val="both"/>
              <w:rPr>
                <w:sz w:val="20"/>
                <w:szCs w:val="20"/>
                <w:lang w:val="en-GB"/>
              </w:rPr>
            </w:pPr>
            <w:r w:rsidRPr="00BA41E1">
              <w:rPr>
                <w:sz w:val="20"/>
                <w:szCs w:val="20"/>
                <w:lang w:val="en-GB"/>
              </w:rPr>
              <w:t>Consortium</w:t>
            </w:r>
            <w:r w:rsidR="00195C92" w:rsidRPr="00BA41E1">
              <w:rPr>
                <w:sz w:val="20"/>
                <w:szCs w:val="20"/>
                <w:lang w:val="en-GB"/>
              </w:rPr>
              <w:t xml:space="preserve"> (AAH, WFP, UNICEF)</w:t>
            </w:r>
          </w:p>
        </w:tc>
        <w:tc>
          <w:tcPr>
            <w:tcW w:w="1255" w:type="dxa"/>
          </w:tcPr>
          <w:p w14:paraId="2F849FA9" w14:textId="00C29151" w:rsidR="001B340D" w:rsidRPr="00BA41E1" w:rsidRDefault="00AA6719" w:rsidP="00566ABA">
            <w:pPr>
              <w:jc w:val="both"/>
              <w:rPr>
                <w:sz w:val="20"/>
                <w:szCs w:val="20"/>
                <w:lang w:val="en-GB"/>
              </w:rPr>
            </w:pPr>
            <w:r w:rsidRPr="00BA41E1">
              <w:rPr>
                <w:sz w:val="20"/>
                <w:szCs w:val="20"/>
                <w:lang w:val="en-GB"/>
              </w:rPr>
              <w:t>2017 to 2019</w:t>
            </w:r>
          </w:p>
        </w:tc>
        <w:tc>
          <w:tcPr>
            <w:tcW w:w="1350" w:type="dxa"/>
          </w:tcPr>
          <w:p w14:paraId="68DAA6B4" w14:textId="77777777" w:rsidR="00E463B1" w:rsidRPr="00BA41E1" w:rsidRDefault="00E463B1" w:rsidP="00566ABA">
            <w:pPr>
              <w:jc w:val="both"/>
              <w:rPr>
                <w:sz w:val="20"/>
                <w:szCs w:val="20"/>
                <w:lang w:val="en-GB"/>
              </w:rPr>
            </w:pPr>
            <w:r w:rsidRPr="00BA41E1">
              <w:rPr>
                <w:sz w:val="20"/>
                <w:szCs w:val="20"/>
                <w:lang w:val="en-GB"/>
              </w:rPr>
              <w:t>Borno, Yobe</w:t>
            </w:r>
          </w:p>
          <w:p w14:paraId="42F85DF1" w14:textId="60462A6C" w:rsidR="001B340D" w:rsidRPr="00BA41E1" w:rsidRDefault="00D6637A" w:rsidP="00566ABA">
            <w:pPr>
              <w:jc w:val="both"/>
              <w:rPr>
                <w:i/>
                <w:iCs/>
                <w:sz w:val="20"/>
                <w:szCs w:val="20"/>
                <w:lang w:val="en-GB"/>
              </w:rPr>
            </w:pPr>
            <w:r w:rsidRPr="00BA41E1">
              <w:rPr>
                <w:i/>
                <w:iCs/>
                <w:sz w:val="20"/>
                <w:szCs w:val="20"/>
                <w:lang w:val="en-GB"/>
              </w:rPr>
              <w:t>3 LGAs in Yobe,</w:t>
            </w:r>
          </w:p>
          <w:p w14:paraId="5702DAD0" w14:textId="7AA96907" w:rsidR="00D6637A" w:rsidRPr="00BA41E1" w:rsidRDefault="00D6637A" w:rsidP="00566ABA">
            <w:pPr>
              <w:jc w:val="both"/>
              <w:rPr>
                <w:sz w:val="20"/>
                <w:szCs w:val="20"/>
                <w:lang w:val="en-GB"/>
              </w:rPr>
            </w:pPr>
            <w:r w:rsidRPr="00BA41E1">
              <w:rPr>
                <w:i/>
                <w:iCs/>
                <w:sz w:val="20"/>
                <w:szCs w:val="20"/>
                <w:lang w:val="en-GB"/>
              </w:rPr>
              <w:t>6 LGAs in Borno</w:t>
            </w:r>
          </w:p>
        </w:tc>
        <w:tc>
          <w:tcPr>
            <w:tcW w:w="2970" w:type="dxa"/>
          </w:tcPr>
          <w:p w14:paraId="0DEDE0A7" w14:textId="46097C9A" w:rsidR="001B340D" w:rsidRPr="00BA41E1" w:rsidRDefault="00AA6719" w:rsidP="00566ABA">
            <w:pPr>
              <w:jc w:val="both"/>
              <w:rPr>
                <w:sz w:val="20"/>
                <w:szCs w:val="20"/>
                <w:lang w:val="en-GB"/>
              </w:rPr>
            </w:pPr>
            <w:r w:rsidRPr="00BA41E1">
              <w:rPr>
                <w:sz w:val="20"/>
                <w:szCs w:val="20"/>
                <w:lang w:val="en-GB"/>
              </w:rPr>
              <w:t>Integrated basic nutrition response</w:t>
            </w:r>
            <w:r w:rsidR="00615BF3">
              <w:rPr>
                <w:sz w:val="20"/>
                <w:szCs w:val="20"/>
                <w:lang w:val="en-GB"/>
              </w:rPr>
              <w:t xml:space="preserve"> plus</w:t>
            </w:r>
            <w:r w:rsidRPr="00BA41E1">
              <w:rPr>
                <w:sz w:val="20"/>
                <w:szCs w:val="20"/>
                <w:lang w:val="en-GB"/>
              </w:rPr>
              <w:t xml:space="preserve"> </w:t>
            </w:r>
            <w:r w:rsidR="00615BF3">
              <w:rPr>
                <w:sz w:val="20"/>
                <w:szCs w:val="20"/>
                <w:lang w:val="en-GB"/>
              </w:rPr>
              <w:t xml:space="preserve">(INP+) </w:t>
            </w:r>
            <w:r w:rsidRPr="00BA41E1">
              <w:rPr>
                <w:sz w:val="20"/>
                <w:szCs w:val="20"/>
                <w:lang w:val="en-GB"/>
              </w:rPr>
              <w:t>to the humanitarian crisis in Borno and Yobe</w:t>
            </w:r>
          </w:p>
        </w:tc>
        <w:tc>
          <w:tcPr>
            <w:tcW w:w="2515" w:type="dxa"/>
          </w:tcPr>
          <w:p w14:paraId="7DFCCB0A" w14:textId="16A363E6" w:rsidR="001B340D" w:rsidRPr="00BA41E1" w:rsidRDefault="002D27BD" w:rsidP="00566ABA">
            <w:pPr>
              <w:jc w:val="both"/>
              <w:rPr>
                <w:sz w:val="20"/>
                <w:szCs w:val="20"/>
                <w:lang w:val="en-GB"/>
              </w:rPr>
            </w:pPr>
            <w:hyperlink r:id="rId14" w:history="1">
              <w:r w:rsidR="001B340D" w:rsidRPr="00BA41E1">
                <w:rPr>
                  <w:rStyle w:val="Hyperlink"/>
                  <w:sz w:val="20"/>
                  <w:szCs w:val="20"/>
                  <w:lang w:val="en-GB"/>
                </w:rPr>
                <w:t>Project proposal</w:t>
              </w:r>
            </w:hyperlink>
          </w:p>
          <w:p w14:paraId="79D01A5E" w14:textId="533CDE00" w:rsidR="00420BF1" w:rsidRPr="00BA41E1" w:rsidRDefault="00420BF1" w:rsidP="00566ABA">
            <w:pPr>
              <w:jc w:val="both"/>
              <w:rPr>
                <w:sz w:val="20"/>
                <w:szCs w:val="20"/>
                <w:lang w:val="en-GB"/>
              </w:rPr>
            </w:pPr>
          </w:p>
        </w:tc>
      </w:tr>
      <w:tr w:rsidR="00F54A6E" w:rsidRPr="00BA41E1" w14:paraId="6E6C910B" w14:textId="77777777" w:rsidTr="00CE0A84">
        <w:tc>
          <w:tcPr>
            <w:tcW w:w="1260" w:type="dxa"/>
          </w:tcPr>
          <w:p w14:paraId="6813B08E" w14:textId="4B842167" w:rsidR="00F54A6E" w:rsidRPr="00BA41E1" w:rsidRDefault="00D335D0" w:rsidP="00566ABA">
            <w:pPr>
              <w:jc w:val="both"/>
              <w:rPr>
                <w:sz w:val="20"/>
                <w:szCs w:val="20"/>
                <w:lang w:val="en-GB"/>
              </w:rPr>
            </w:pPr>
            <w:r w:rsidRPr="00BA41E1">
              <w:rPr>
                <w:sz w:val="20"/>
                <w:szCs w:val="20"/>
                <w:lang w:val="en-GB"/>
              </w:rPr>
              <w:t>Consortium (AAH, WFP, UNICEF)</w:t>
            </w:r>
          </w:p>
        </w:tc>
        <w:tc>
          <w:tcPr>
            <w:tcW w:w="1255" w:type="dxa"/>
          </w:tcPr>
          <w:p w14:paraId="56691E16" w14:textId="61943B29" w:rsidR="00F54A6E" w:rsidRPr="00BA41E1" w:rsidRDefault="00D335D0" w:rsidP="00566ABA">
            <w:pPr>
              <w:jc w:val="both"/>
              <w:rPr>
                <w:sz w:val="20"/>
                <w:szCs w:val="20"/>
                <w:lang w:val="en-GB"/>
              </w:rPr>
            </w:pPr>
            <w:r w:rsidRPr="00BA41E1">
              <w:rPr>
                <w:sz w:val="20"/>
                <w:szCs w:val="20"/>
                <w:lang w:val="en-GB"/>
              </w:rPr>
              <w:t>2017 to 2019</w:t>
            </w:r>
          </w:p>
        </w:tc>
        <w:tc>
          <w:tcPr>
            <w:tcW w:w="1350" w:type="dxa"/>
          </w:tcPr>
          <w:p w14:paraId="502073A6" w14:textId="588C2CAF" w:rsidR="00F54A6E" w:rsidRPr="00BA41E1" w:rsidRDefault="00F54A6E" w:rsidP="00566ABA">
            <w:pPr>
              <w:jc w:val="both"/>
              <w:rPr>
                <w:sz w:val="20"/>
                <w:szCs w:val="20"/>
                <w:lang w:val="en-GB"/>
              </w:rPr>
            </w:pPr>
            <w:r w:rsidRPr="00BA41E1">
              <w:rPr>
                <w:sz w:val="20"/>
                <w:szCs w:val="20"/>
                <w:lang w:val="en-GB"/>
              </w:rPr>
              <w:t>Borno, Yobe</w:t>
            </w:r>
          </w:p>
          <w:p w14:paraId="19B41E6B" w14:textId="6F231646" w:rsidR="00F54A6E" w:rsidRPr="00BA41E1" w:rsidRDefault="00F54A6E" w:rsidP="00566ABA">
            <w:pPr>
              <w:jc w:val="both"/>
              <w:rPr>
                <w:i/>
                <w:iCs/>
                <w:sz w:val="20"/>
                <w:szCs w:val="20"/>
                <w:lang w:val="en-GB"/>
              </w:rPr>
            </w:pPr>
            <w:r w:rsidRPr="00BA41E1">
              <w:rPr>
                <w:i/>
                <w:iCs/>
                <w:sz w:val="20"/>
                <w:szCs w:val="20"/>
                <w:lang w:val="en-GB"/>
              </w:rPr>
              <w:t xml:space="preserve">Shani, Nagere </w:t>
            </w:r>
          </w:p>
        </w:tc>
        <w:tc>
          <w:tcPr>
            <w:tcW w:w="2970" w:type="dxa"/>
          </w:tcPr>
          <w:p w14:paraId="2DFF9BFB" w14:textId="279A0A70" w:rsidR="00F54A6E" w:rsidRPr="00BA41E1" w:rsidRDefault="00F54A6E" w:rsidP="00566ABA">
            <w:pPr>
              <w:jc w:val="both"/>
              <w:rPr>
                <w:sz w:val="20"/>
                <w:szCs w:val="20"/>
                <w:lang w:val="en-GB"/>
              </w:rPr>
            </w:pPr>
            <w:r w:rsidRPr="00BA41E1">
              <w:rPr>
                <w:sz w:val="20"/>
                <w:szCs w:val="20"/>
                <w:lang w:val="en-GB"/>
              </w:rPr>
              <w:t xml:space="preserve">INP+ multi-sectoral </w:t>
            </w:r>
            <w:r w:rsidR="00EA47BB" w:rsidRPr="00BA41E1">
              <w:rPr>
                <w:sz w:val="20"/>
                <w:szCs w:val="20"/>
                <w:lang w:val="en-GB"/>
              </w:rPr>
              <w:t>pilot</w:t>
            </w:r>
          </w:p>
        </w:tc>
        <w:tc>
          <w:tcPr>
            <w:tcW w:w="2515" w:type="dxa"/>
          </w:tcPr>
          <w:p w14:paraId="611D8BFA" w14:textId="123B3EC6" w:rsidR="00F54A6E" w:rsidRPr="00BA41E1" w:rsidRDefault="00F54A6E" w:rsidP="00566ABA">
            <w:pPr>
              <w:jc w:val="both"/>
              <w:rPr>
                <w:sz w:val="20"/>
                <w:szCs w:val="20"/>
                <w:lang w:val="en-GB"/>
              </w:rPr>
            </w:pPr>
            <w:r w:rsidRPr="00BA41E1">
              <w:rPr>
                <w:sz w:val="20"/>
                <w:szCs w:val="20"/>
                <w:lang w:val="en-GB"/>
              </w:rPr>
              <w:t>Baseline report</w:t>
            </w:r>
            <w:r w:rsidR="00674C4B" w:rsidRPr="00BA41E1">
              <w:rPr>
                <w:sz w:val="20"/>
                <w:szCs w:val="20"/>
                <w:lang w:val="en-GB"/>
              </w:rPr>
              <w:t xml:space="preserve"> (internal)</w:t>
            </w:r>
          </w:p>
          <w:p w14:paraId="420FACFF" w14:textId="37E41C90" w:rsidR="00F54A6E" w:rsidRPr="00BA41E1" w:rsidRDefault="00F54A6E" w:rsidP="00566ABA">
            <w:pPr>
              <w:jc w:val="both"/>
              <w:rPr>
                <w:sz w:val="20"/>
                <w:szCs w:val="20"/>
                <w:lang w:val="en-GB"/>
              </w:rPr>
            </w:pPr>
            <w:r w:rsidRPr="00BA41E1">
              <w:rPr>
                <w:sz w:val="20"/>
                <w:szCs w:val="20"/>
                <w:lang w:val="en-GB"/>
              </w:rPr>
              <w:t>Midline report</w:t>
            </w:r>
            <w:r w:rsidR="00674C4B" w:rsidRPr="00BA41E1">
              <w:rPr>
                <w:sz w:val="20"/>
                <w:szCs w:val="20"/>
                <w:lang w:val="en-GB"/>
              </w:rPr>
              <w:t xml:space="preserve"> (internal)</w:t>
            </w:r>
          </w:p>
        </w:tc>
      </w:tr>
      <w:tr w:rsidR="001B340D" w:rsidRPr="00BA41E1" w14:paraId="2F7BBDB1" w14:textId="77777777" w:rsidTr="00CE0A84">
        <w:tc>
          <w:tcPr>
            <w:tcW w:w="1260" w:type="dxa"/>
          </w:tcPr>
          <w:p w14:paraId="22F4A2AC" w14:textId="121D4263" w:rsidR="001B340D" w:rsidRPr="00BA41E1" w:rsidRDefault="001B340D" w:rsidP="00566ABA">
            <w:pPr>
              <w:jc w:val="both"/>
              <w:rPr>
                <w:sz w:val="20"/>
                <w:szCs w:val="20"/>
                <w:lang w:val="en-GB"/>
              </w:rPr>
            </w:pPr>
            <w:r w:rsidRPr="00BA41E1">
              <w:rPr>
                <w:sz w:val="20"/>
                <w:szCs w:val="20"/>
                <w:lang w:val="en-GB"/>
              </w:rPr>
              <w:t>WFP</w:t>
            </w:r>
          </w:p>
        </w:tc>
        <w:tc>
          <w:tcPr>
            <w:tcW w:w="1255" w:type="dxa"/>
          </w:tcPr>
          <w:p w14:paraId="1E1176CE" w14:textId="72E09BAF" w:rsidR="001B340D" w:rsidRPr="00BA41E1" w:rsidRDefault="00EA47BB" w:rsidP="00566ABA">
            <w:pPr>
              <w:jc w:val="both"/>
              <w:rPr>
                <w:sz w:val="20"/>
                <w:szCs w:val="20"/>
                <w:lang w:val="en-GB"/>
              </w:rPr>
            </w:pPr>
            <w:r w:rsidRPr="00BA41E1">
              <w:rPr>
                <w:sz w:val="20"/>
                <w:szCs w:val="20"/>
                <w:lang w:val="en-GB"/>
              </w:rPr>
              <w:t>2019 to 2020</w:t>
            </w:r>
          </w:p>
        </w:tc>
        <w:tc>
          <w:tcPr>
            <w:tcW w:w="1350" w:type="dxa"/>
          </w:tcPr>
          <w:p w14:paraId="1582D688" w14:textId="77777777" w:rsidR="001B340D" w:rsidRPr="00BA41E1" w:rsidRDefault="001B340D" w:rsidP="00566ABA">
            <w:pPr>
              <w:jc w:val="both"/>
              <w:rPr>
                <w:sz w:val="20"/>
                <w:szCs w:val="20"/>
                <w:lang w:val="en-GB"/>
              </w:rPr>
            </w:pPr>
          </w:p>
        </w:tc>
        <w:tc>
          <w:tcPr>
            <w:tcW w:w="2970" w:type="dxa"/>
          </w:tcPr>
          <w:p w14:paraId="1F0779E8" w14:textId="5D4550AD" w:rsidR="001B340D" w:rsidRPr="00BA41E1" w:rsidRDefault="006653AE" w:rsidP="00566ABA">
            <w:pPr>
              <w:jc w:val="both"/>
              <w:rPr>
                <w:sz w:val="20"/>
                <w:szCs w:val="20"/>
                <w:lang w:val="en-GB"/>
              </w:rPr>
            </w:pPr>
            <w:r w:rsidRPr="00BA41E1">
              <w:rPr>
                <w:sz w:val="20"/>
                <w:szCs w:val="20"/>
                <w:lang w:val="en-GB"/>
              </w:rPr>
              <w:t>Multisectoral programme (MSP)</w:t>
            </w:r>
          </w:p>
        </w:tc>
        <w:tc>
          <w:tcPr>
            <w:tcW w:w="2515" w:type="dxa"/>
          </w:tcPr>
          <w:p w14:paraId="7CDC6E2D" w14:textId="739DB824" w:rsidR="001B340D" w:rsidRPr="00BA41E1" w:rsidRDefault="00EA47BB" w:rsidP="00566ABA">
            <w:pPr>
              <w:jc w:val="both"/>
              <w:rPr>
                <w:sz w:val="20"/>
                <w:szCs w:val="20"/>
                <w:lang w:val="en-GB"/>
              </w:rPr>
            </w:pPr>
            <w:r w:rsidRPr="00BA41E1">
              <w:rPr>
                <w:sz w:val="20"/>
                <w:szCs w:val="20"/>
                <w:lang w:val="en-GB"/>
              </w:rPr>
              <w:t>NA</w:t>
            </w:r>
          </w:p>
        </w:tc>
      </w:tr>
    </w:tbl>
    <w:p w14:paraId="39290731" w14:textId="4BEC4927" w:rsidR="004D2F0D" w:rsidRPr="00BA41E1" w:rsidRDefault="00281504" w:rsidP="00566ABA">
      <w:pPr>
        <w:jc w:val="both"/>
        <w:rPr>
          <w:lang w:val="en-GB"/>
        </w:rPr>
      </w:pPr>
      <w:r w:rsidRPr="00BA41E1">
        <w:rPr>
          <w:lang w:val="en-GB"/>
        </w:rPr>
        <w:t>Table 1. Overview on reviewed projects and documentation</w:t>
      </w:r>
    </w:p>
    <w:p w14:paraId="125A1994" w14:textId="77777777" w:rsidR="00E14A5D" w:rsidRPr="00BA41E1" w:rsidRDefault="00E14A5D" w:rsidP="00566ABA">
      <w:pPr>
        <w:jc w:val="both"/>
        <w:rPr>
          <w:lang w:val="en-GB"/>
        </w:rPr>
      </w:pPr>
    </w:p>
    <w:p w14:paraId="757B56C0" w14:textId="1003C87A" w:rsidR="00E14A5D" w:rsidRPr="00BA41E1" w:rsidRDefault="00E14A5D" w:rsidP="00566ABA">
      <w:pPr>
        <w:jc w:val="both"/>
        <w:rPr>
          <w:i/>
          <w:iCs/>
          <w:lang w:val="en-GB"/>
        </w:rPr>
      </w:pPr>
      <w:r w:rsidRPr="00BA41E1">
        <w:rPr>
          <w:i/>
          <w:iCs/>
          <w:lang w:val="en-GB"/>
        </w:rPr>
        <w:t>Content</w:t>
      </w:r>
    </w:p>
    <w:p w14:paraId="59841763" w14:textId="509FCF6D" w:rsidR="00281504" w:rsidRDefault="00E14A5D" w:rsidP="00566ABA">
      <w:pPr>
        <w:jc w:val="both"/>
        <w:rPr>
          <w:lang w:val="en-GB"/>
        </w:rPr>
      </w:pPr>
      <w:r w:rsidRPr="00BA41E1">
        <w:rPr>
          <w:lang w:val="en-GB"/>
        </w:rPr>
        <w:t>Chapter 2 of the case study looks at the role of CVA in nutrition programming. It draws heavily from the d</w:t>
      </w:r>
      <w:r w:rsidR="00281504" w:rsidRPr="00BA41E1">
        <w:rPr>
          <w:lang w:val="en-GB"/>
        </w:rPr>
        <w:t xml:space="preserve">raft </w:t>
      </w:r>
      <w:r w:rsidR="0038250E" w:rsidRPr="00BA41E1">
        <w:rPr>
          <w:lang w:val="en-GB"/>
        </w:rPr>
        <w:t>‘evidence and guidance note on the use of CVA for nutrition outcomes</w:t>
      </w:r>
      <w:r w:rsidRPr="00BA41E1">
        <w:rPr>
          <w:lang w:val="en-GB"/>
        </w:rPr>
        <w:t>’ and contains a short section on the potential of CVA to substitute specialized nutritious foods</w:t>
      </w:r>
      <w:r w:rsidR="0038250E" w:rsidRPr="00BA41E1">
        <w:rPr>
          <w:lang w:val="en-GB"/>
        </w:rPr>
        <w:t>.</w:t>
      </w:r>
      <w:r w:rsidRPr="00BA41E1">
        <w:rPr>
          <w:lang w:val="en-GB"/>
        </w:rPr>
        <w:t xml:space="preserve"> Chapter 3 </w:t>
      </w:r>
      <w:r w:rsidR="00186384" w:rsidRPr="00BA41E1">
        <w:rPr>
          <w:lang w:val="en-GB"/>
        </w:rPr>
        <w:t xml:space="preserve">reviews past and ongoing nutrition responses with a CVA component with a particular focus on design, results and learning. Chapter 4 looks at the broader CVA response in Nigeria and reviews the nutrition sensitivity of multipurpose cash (MPC) in Nigeria. Chapter 5 concludes the case study and provides some recommendations for next steps. </w:t>
      </w:r>
    </w:p>
    <w:p w14:paraId="1DE57B9D" w14:textId="77777777" w:rsidR="00EB0FAE" w:rsidRPr="00BA41E1" w:rsidRDefault="00EB0FAE" w:rsidP="00566ABA">
      <w:pPr>
        <w:jc w:val="both"/>
        <w:rPr>
          <w:lang w:val="en-GB"/>
        </w:rPr>
      </w:pPr>
    </w:p>
    <w:p w14:paraId="55818CFB" w14:textId="0CB6033C" w:rsidR="00124FFC" w:rsidRPr="00BA41E1" w:rsidRDefault="00EE5317" w:rsidP="00566ABA">
      <w:pPr>
        <w:pStyle w:val="Heading1"/>
        <w:jc w:val="both"/>
        <w:rPr>
          <w:lang w:val="en-GB"/>
        </w:rPr>
      </w:pPr>
      <w:bookmarkStart w:id="2" w:name="_Toc41558460"/>
      <w:r w:rsidRPr="00BA41E1">
        <w:rPr>
          <w:lang w:val="en-GB"/>
        </w:rPr>
        <w:t>The role of CVA in nutrition programming</w:t>
      </w:r>
      <w:bookmarkEnd w:id="2"/>
    </w:p>
    <w:p w14:paraId="3B863E0E" w14:textId="0EBE6033" w:rsidR="000304FF" w:rsidRPr="00BA41E1" w:rsidRDefault="000304FF" w:rsidP="00566ABA">
      <w:pPr>
        <w:jc w:val="both"/>
        <w:rPr>
          <w:lang w:val="en-GB"/>
        </w:rPr>
      </w:pPr>
      <w:r w:rsidRPr="00BA41E1">
        <w:rPr>
          <w:lang w:val="en-GB"/>
        </w:rPr>
        <w:t xml:space="preserve">In principle, CVA programmes can impact the </w:t>
      </w:r>
      <w:r w:rsidRPr="00BA41E1">
        <w:rPr>
          <w:i/>
          <w:iCs/>
          <w:lang w:val="en-GB"/>
        </w:rPr>
        <w:t>underlying determinants</w:t>
      </w:r>
      <w:r w:rsidRPr="00BA41E1">
        <w:rPr>
          <w:lang w:val="en-GB"/>
        </w:rPr>
        <w:t xml:space="preserve"> of maternal and child nutrition in three different ways:  </w:t>
      </w:r>
    </w:p>
    <w:p w14:paraId="280781EB" w14:textId="60BD828D" w:rsidR="000304FF" w:rsidRPr="00BA41E1" w:rsidRDefault="000304FF" w:rsidP="00566ABA">
      <w:pPr>
        <w:pStyle w:val="ListParagraph"/>
        <w:numPr>
          <w:ilvl w:val="0"/>
          <w:numId w:val="22"/>
        </w:numPr>
        <w:jc w:val="both"/>
        <w:rPr>
          <w:lang w:val="en-GB"/>
        </w:rPr>
      </w:pPr>
      <w:r w:rsidRPr="00BA41E1">
        <w:rPr>
          <w:lang w:val="en-GB"/>
        </w:rPr>
        <w:t xml:space="preserve">It allows households </w:t>
      </w:r>
      <w:r w:rsidR="008F5912" w:rsidRPr="00BA41E1">
        <w:rPr>
          <w:lang w:val="en-GB"/>
        </w:rPr>
        <w:t xml:space="preserve">or individuals </w:t>
      </w:r>
      <w:r w:rsidRPr="00BA41E1">
        <w:rPr>
          <w:lang w:val="en-GB"/>
        </w:rPr>
        <w:t>to purchase goods and access services that can have a positive impact on maternal and child nutrition. These include nutritious foods, items to prepare food, hygiene and sanitation items, safe water, health services and medication, transportation, and productive inputs.</w:t>
      </w:r>
    </w:p>
    <w:p w14:paraId="430FDE40" w14:textId="4D2833EB" w:rsidR="000304FF" w:rsidRPr="00BA41E1" w:rsidRDefault="000304FF" w:rsidP="00566ABA">
      <w:pPr>
        <w:pStyle w:val="ListParagraph"/>
        <w:numPr>
          <w:ilvl w:val="0"/>
          <w:numId w:val="22"/>
        </w:numPr>
        <w:jc w:val="both"/>
        <w:rPr>
          <w:lang w:val="en-GB"/>
        </w:rPr>
      </w:pPr>
      <w:r w:rsidRPr="00BA41E1">
        <w:rPr>
          <w:lang w:val="en-GB"/>
        </w:rPr>
        <w:t>If provided conditionality, CVA can promote participation in nutrition social and behavioural change (SBC) activities</w:t>
      </w:r>
      <w:r w:rsidR="00BA41E1" w:rsidRPr="00BA41E1">
        <w:rPr>
          <w:rStyle w:val="FootnoteReference"/>
          <w:lang w:val="en-GB"/>
        </w:rPr>
        <w:footnoteReference w:id="3"/>
      </w:r>
      <w:r w:rsidRPr="00BA41E1">
        <w:rPr>
          <w:lang w:val="en-GB"/>
        </w:rPr>
        <w:t xml:space="preserve"> and attendance to priority health services</w:t>
      </w:r>
      <w:r w:rsidR="00BA41E1" w:rsidRPr="00BA41E1">
        <w:rPr>
          <w:rStyle w:val="FootnoteReference"/>
          <w:lang w:val="en-GB"/>
        </w:rPr>
        <w:footnoteReference w:id="4"/>
      </w:r>
      <w:r w:rsidRPr="00BA41E1">
        <w:rPr>
          <w:lang w:val="en-GB"/>
        </w:rPr>
        <w:t>.</w:t>
      </w:r>
    </w:p>
    <w:p w14:paraId="52CE1AD6" w14:textId="77777777" w:rsidR="000304FF" w:rsidRPr="00BA41E1" w:rsidRDefault="000304FF" w:rsidP="00566ABA">
      <w:pPr>
        <w:pStyle w:val="ListParagraph"/>
        <w:numPr>
          <w:ilvl w:val="0"/>
          <w:numId w:val="22"/>
        </w:numPr>
        <w:jc w:val="both"/>
        <w:rPr>
          <w:lang w:val="en-GB"/>
        </w:rPr>
      </w:pPr>
      <w:r w:rsidRPr="00BA41E1">
        <w:rPr>
          <w:lang w:val="en-GB"/>
        </w:rPr>
        <w:t xml:space="preserve">The temporary increase in household budget can have additional positive or negative consequences which can impact child and maternal nutrition: Reduced or increased household tensions, reduced economic pressure within households which can increase time available for caregiving, improved decision-making power of women, improved psychological well-being of caregivers, etc. </w:t>
      </w:r>
    </w:p>
    <w:p w14:paraId="47E85890" w14:textId="6D213AA0" w:rsidR="000304FF" w:rsidRPr="00BA41E1" w:rsidRDefault="000304FF" w:rsidP="00566ABA">
      <w:pPr>
        <w:jc w:val="both"/>
        <w:rPr>
          <w:lang w:val="en-GB"/>
        </w:rPr>
      </w:pPr>
      <w:r w:rsidRPr="00BA41E1">
        <w:rPr>
          <w:lang w:val="en-GB"/>
        </w:rPr>
        <w:t xml:space="preserve">CVA can by no means address all barriers to adequate food, feeding and healthy environment. CVA is </w:t>
      </w:r>
      <w:r w:rsidR="008556A0">
        <w:rPr>
          <w:lang w:val="en-GB"/>
        </w:rPr>
        <w:t>much better</w:t>
      </w:r>
      <w:r w:rsidRPr="00BA41E1">
        <w:rPr>
          <w:lang w:val="en-GB"/>
        </w:rPr>
        <w:t xml:space="preserve"> suited to address economic demand side barriers to adequate nutrition and relies upon functioning and accessible systems (e.g. food markets or health services) on the supply side to be effective (see </w:t>
      </w:r>
      <w:r w:rsidR="00B2471A" w:rsidRPr="00BA41E1">
        <w:rPr>
          <w:lang w:val="en-GB"/>
        </w:rPr>
        <w:t>A</w:t>
      </w:r>
      <w:r w:rsidRPr="00BA41E1">
        <w:rPr>
          <w:lang w:val="en-GB"/>
        </w:rPr>
        <w:t xml:space="preserve">nnex 1 for an overview on demand and supply side barriers to adequate nutrition). </w:t>
      </w:r>
    </w:p>
    <w:p w14:paraId="76B5CAED" w14:textId="172631DE" w:rsidR="00B2471A" w:rsidRPr="00BA41E1" w:rsidRDefault="00857F4F" w:rsidP="00566ABA">
      <w:pPr>
        <w:jc w:val="both"/>
        <w:rPr>
          <w:lang w:val="en-GB"/>
        </w:rPr>
      </w:pPr>
      <w:r w:rsidRPr="00BA41E1">
        <w:rPr>
          <w:lang w:val="en-GB"/>
        </w:rPr>
        <w:t xml:space="preserve">The evidence base </w:t>
      </w:r>
      <w:r w:rsidR="00B2471A" w:rsidRPr="00BA41E1">
        <w:rPr>
          <w:lang w:val="en-GB"/>
        </w:rPr>
        <w:t xml:space="preserve">for CVA to address the underlying and immediate determinants for adequate nutrition and to improve nutrition status of children and women is summarized in Annex 2. Based on the expanding evidence base, there is today a broad consensus within the </w:t>
      </w:r>
      <w:r w:rsidR="008556A0">
        <w:rPr>
          <w:lang w:val="en-GB"/>
        </w:rPr>
        <w:t xml:space="preserve">nutrition </w:t>
      </w:r>
      <w:r w:rsidR="00B2471A" w:rsidRPr="00BA41E1">
        <w:rPr>
          <w:lang w:val="en-GB"/>
        </w:rPr>
        <w:t>sector that:</w:t>
      </w:r>
    </w:p>
    <w:p w14:paraId="5044B3E2" w14:textId="2C107904" w:rsidR="00B2471A" w:rsidRPr="00BA41E1" w:rsidRDefault="00B2471A" w:rsidP="00566ABA">
      <w:pPr>
        <w:pStyle w:val="ListParagraph"/>
        <w:numPr>
          <w:ilvl w:val="0"/>
          <w:numId w:val="23"/>
        </w:numPr>
        <w:jc w:val="both"/>
        <w:rPr>
          <w:lang w:val="en-GB"/>
        </w:rPr>
      </w:pPr>
      <w:r w:rsidRPr="00BA41E1">
        <w:rPr>
          <w:lang w:val="en-GB"/>
        </w:rPr>
        <w:t>CVA alone is in most circumstances not sufficient to impact nutrition outcomes</w:t>
      </w:r>
    </w:p>
    <w:p w14:paraId="61411E7D" w14:textId="234557D4" w:rsidR="00B2471A" w:rsidRPr="00BA41E1" w:rsidRDefault="00B2471A" w:rsidP="00566ABA">
      <w:pPr>
        <w:pStyle w:val="ListParagraph"/>
        <w:numPr>
          <w:ilvl w:val="0"/>
          <w:numId w:val="23"/>
        </w:numPr>
        <w:jc w:val="both"/>
        <w:rPr>
          <w:lang w:val="en-GB"/>
        </w:rPr>
      </w:pPr>
      <w:r w:rsidRPr="00BA41E1">
        <w:rPr>
          <w:lang w:val="en-GB"/>
        </w:rPr>
        <w:t>CVA is most effective when complemented or integrated with other nutrition-specific and nutrition-sensitive interventions</w:t>
      </w:r>
    </w:p>
    <w:p w14:paraId="0DBFAC6C" w14:textId="5B6C24BF" w:rsidR="00CE0A84" w:rsidRDefault="00190916" w:rsidP="00566ABA">
      <w:pPr>
        <w:jc w:val="both"/>
        <w:rPr>
          <w:lang w:val="en-GB"/>
        </w:rPr>
      </w:pPr>
      <w:r w:rsidRPr="00BA41E1">
        <w:rPr>
          <w:lang w:val="en-GB"/>
        </w:rPr>
        <w:t xml:space="preserve">Table </w:t>
      </w:r>
      <w:r w:rsidR="008556A0">
        <w:rPr>
          <w:lang w:val="en-GB"/>
        </w:rPr>
        <w:t>2</w:t>
      </w:r>
      <w:r w:rsidRPr="00BA41E1">
        <w:rPr>
          <w:lang w:val="en-GB"/>
        </w:rPr>
        <w:t xml:space="preserve"> below</w:t>
      </w:r>
      <w:r w:rsidR="00B2471A" w:rsidRPr="00BA41E1">
        <w:rPr>
          <w:lang w:val="en-GB"/>
        </w:rPr>
        <w:t xml:space="preserve"> </w:t>
      </w:r>
      <w:r w:rsidR="00FC293C" w:rsidRPr="00BA41E1">
        <w:rPr>
          <w:lang w:val="en-GB"/>
        </w:rPr>
        <w:t xml:space="preserve">provides and overview on the different components of a nutrition response at household or individual level, the traditional response modalities used and the potential for CVA to </w:t>
      </w:r>
      <w:r w:rsidR="00257228">
        <w:rPr>
          <w:b/>
          <w:bCs/>
          <w:lang w:val="en-GB"/>
        </w:rPr>
        <w:t>replace</w:t>
      </w:r>
      <w:r w:rsidR="00FC293C" w:rsidRPr="00BA41E1">
        <w:rPr>
          <w:lang w:val="en-GB"/>
        </w:rPr>
        <w:t xml:space="preserve"> or </w:t>
      </w:r>
      <w:r w:rsidR="00FC293C" w:rsidRPr="008556A0">
        <w:rPr>
          <w:b/>
          <w:bCs/>
          <w:lang w:val="en-GB"/>
        </w:rPr>
        <w:t>complement</w:t>
      </w:r>
      <w:r w:rsidR="00FC293C" w:rsidRPr="00BA41E1">
        <w:rPr>
          <w:lang w:val="en-GB"/>
        </w:rPr>
        <w:t xml:space="preserve"> the traditional response modality</w:t>
      </w:r>
      <w:r w:rsidR="00B667E5" w:rsidRPr="00BA41E1">
        <w:rPr>
          <w:lang w:val="en-GB"/>
        </w:rPr>
        <w:t xml:space="preserve">. </w:t>
      </w:r>
      <w:r w:rsidR="00FC293C" w:rsidRPr="00BA41E1">
        <w:rPr>
          <w:lang w:val="en-GB"/>
        </w:rPr>
        <w:t xml:space="preserve">It is important to note that the interventions described in the table and the respective modalities can be combined in various ways. </w:t>
      </w:r>
    </w:p>
    <w:tbl>
      <w:tblPr>
        <w:tblStyle w:val="TableGrid"/>
        <w:tblW w:w="9985" w:type="dxa"/>
        <w:tblLook w:val="04A0" w:firstRow="1" w:lastRow="0" w:firstColumn="1" w:lastColumn="0" w:noHBand="0" w:noVBand="1"/>
      </w:tblPr>
      <w:tblGrid>
        <w:gridCol w:w="1749"/>
        <w:gridCol w:w="2566"/>
        <w:gridCol w:w="2700"/>
        <w:gridCol w:w="2970"/>
      </w:tblGrid>
      <w:tr w:rsidR="00257228" w:rsidRPr="001469C8" w14:paraId="6F9FFA5E" w14:textId="77777777" w:rsidTr="00EB0FAE">
        <w:tc>
          <w:tcPr>
            <w:tcW w:w="1749" w:type="dxa"/>
            <w:tcBorders>
              <w:bottom w:val="single" w:sz="4" w:space="0" w:color="000000" w:themeColor="text1"/>
            </w:tcBorders>
            <w:shd w:val="clear" w:color="auto" w:fill="B4C6E7" w:themeFill="accent1" w:themeFillTint="66"/>
          </w:tcPr>
          <w:p w14:paraId="2C0687E2" w14:textId="77777777" w:rsidR="00257228" w:rsidRPr="001469C8" w:rsidRDefault="00257228" w:rsidP="00EB0FAE">
            <w:pPr>
              <w:jc w:val="both"/>
              <w:rPr>
                <w:b/>
                <w:sz w:val="17"/>
                <w:szCs w:val="17"/>
                <w:lang w:val="en-GB"/>
              </w:rPr>
            </w:pPr>
            <w:r w:rsidRPr="001469C8">
              <w:rPr>
                <w:rFonts w:ascii="Calibri" w:eastAsia="Times New Roman" w:hAnsi="Calibri" w:cs="Calibri"/>
                <w:b/>
                <w:color w:val="000000"/>
                <w:sz w:val="17"/>
                <w:szCs w:val="17"/>
                <w:lang w:val="en-GB"/>
              </w:rPr>
              <w:t xml:space="preserve">Components of nutrition response </w:t>
            </w:r>
          </w:p>
        </w:tc>
        <w:tc>
          <w:tcPr>
            <w:tcW w:w="2566" w:type="dxa"/>
            <w:tcBorders>
              <w:bottom w:val="single" w:sz="4" w:space="0" w:color="000000" w:themeColor="text1"/>
            </w:tcBorders>
            <w:shd w:val="clear" w:color="auto" w:fill="B4C6E7" w:themeFill="accent1" w:themeFillTint="66"/>
          </w:tcPr>
          <w:p w14:paraId="1197B724" w14:textId="77777777" w:rsidR="00257228" w:rsidRPr="001469C8" w:rsidRDefault="00257228" w:rsidP="00EB0FAE">
            <w:pPr>
              <w:jc w:val="both"/>
              <w:rPr>
                <w:b/>
                <w:sz w:val="17"/>
                <w:szCs w:val="17"/>
                <w:lang w:val="en-GB"/>
              </w:rPr>
            </w:pPr>
            <w:r w:rsidRPr="001469C8">
              <w:rPr>
                <w:rFonts w:ascii="Calibri" w:eastAsia="Times New Roman" w:hAnsi="Calibri" w:cs="Calibri"/>
                <w:b/>
                <w:color w:val="000000"/>
                <w:sz w:val="17"/>
                <w:szCs w:val="17"/>
                <w:lang w:val="en-GB"/>
              </w:rPr>
              <w:t>Traditional response modality</w:t>
            </w:r>
          </w:p>
        </w:tc>
        <w:tc>
          <w:tcPr>
            <w:tcW w:w="2700" w:type="dxa"/>
            <w:tcBorders>
              <w:bottom w:val="single" w:sz="4" w:space="0" w:color="000000" w:themeColor="text1"/>
            </w:tcBorders>
            <w:shd w:val="clear" w:color="auto" w:fill="B4C6E7" w:themeFill="accent1" w:themeFillTint="66"/>
          </w:tcPr>
          <w:p w14:paraId="0459AD98" w14:textId="77777777" w:rsidR="00257228" w:rsidRPr="001469C8" w:rsidRDefault="00257228" w:rsidP="00EB0FAE">
            <w:pPr>
              <w:jc w:val="both"/>
              <w:rPr>
                <w:b/>
                <w:sz w:val="17"/>
                <w:szCs w:val="17"/>
                <w:lang w:val="en-GB"/>
              </w:rPr>
            </w:pPr>
            <w:r w:rsidRPr="001469C8">
              <w:rPr>
                <w:b/>
                <w:sz w:val="17"/>
                <w:szCs w:val="17"/>
                <w:lang w:val="en-GB"/>
              </w:rPr>
              <w:t>Possible role of CVA</w:t>
            </w:r>
          </w:p>
        </w:tc>
        <w:tc>
          <w:tcPr>
            <w:tcW w:w="2970" w:type="dxa"/>
            <w:tcBorders>
              <w:bottom w:val="single" w:sz="4" w:space="0" w:color="000000" w:themeColor="text1"/>
            </w:tcBorders>
            <w:shd w:val="clear" w:color="auto" w:fill="B4C6E7" w:themeFill="accent1" w:themeFillTint="66"/>
          </w:tcPr>
          <w:p w14:paraId="7F656350" w14:textId="793E05A9" w:rsidR="00257228" w:rsidRPr="001469C8" w:rsidRDefault="00257228" w:rsidP="00EB0FAE">
            <w:pPr>
              <w:jc w:val="both"/>
              <w:rPr>
                <w:b/>
                <w:sz w:val="17"/>
                <w:szCs w:val="17"/>
                <w:lang w:val="en-GB"/>
              </w:rPr>
            </w:pPr>
            <w:r w:rsidRPr="001469C8">
              <w:rPr>
                <w:b/>
                <w:sz w:val="17"/>
                <w:szCs w:val="17"/>
                <w:lang w:val="en-GB"/>
              </w:rPr>
              <w:t>Primary objective of CVA</w:t>
            </w:r>
          </w:p>
        </w:tc>
      </w:tr>
      <w:tr w:rsidR="00257228" w:rsidRPr="00E85CD3" w14:paraId="3FEC903C" w14:textId="77777777" w:rsidTr="00EB0FAE">
        <w:tc>
          <w:tcPr>
            <w:tcW w:w="9985" w:type="dxa"/>
            <w:gridSpan w:val="4"/>
            <w:shd w:val="clear" w:color="auto" w:fill="FFE599" w:themeFill="accent4" w:themeFillTint="66"/>
          </w:tcPr>
          <w:p w14:paraId="6754EBF2" w14:textId="77777777" w:rsidR="00257228" w:rsidRPr="00E85CD3" w:rsidRDefault="00257228" w:rsidP="00EB0FAE">
            <w:pPr>
              <w:jc w:val="center"/>
              <w:rPr>
                <w:b/>
                <w:i/>
                <w:iCs/>
                <w:sz w:val="17"/>
                <w:szCs w:val="17"/>
                <w:lang w:val="en-GB"/>
              </w:rPr>
            </w:pPr>
            <w:r>
              <w:rPr>
                <w:b/>
                <w:i/>
                <w:iCs/>
                <w:sz w:val="17"/>
                <w:szCs w:val="17"/>
                <w:lang w:val="en-GB"/>
              </w:rPr>
              <w:t>Nutrition sensitive r</w:t>
            </w:r>
            <w:r w:rsidRPr="00E85CD3">
              <w:rPr>
                <w:b/>
                <w:i/>
                <w:iCs/>
                <w:sz w:val="17"/>
                <w:szCs w:val="17"/>
                <w:lang w:val="en-GB"/>
              </w:rPr>
              <w:t>esponse options</w:t>
            </w:r>
          </w:p>
        </w:tc>
      </w:tr>
      <w:tr w:rsidR="00257228" w:rsidRPr="001469C8" w14:paraId="57BCBDE1" w14:textId="77777777" w:rsidTr="00EB0FAE">
        <w:tc>
          <w:tcPr>
            <w:tcW w:w="1749" w:type="dxa"/>
            <w:tcBorders>
              <w:bottom w:val="single" w:sz="4" w:space="0" w:color="000000" w:themeColor="text1"/>
            </w:tcBorders>
            <w:shd w:val="clear" w:color="auto" w:fill="FFE599" w:themeFill="accent4" w:themeFillTint="66"/>
          </w:tcPr>
          <w:p w14:paraId="71662828" w14:textId="77777777" w:rsidR="00257228" w:rsidRDefault="00257228" w:rsidP="00EB0FAE">
            <w:pPr>
              <w:jc w:val="both"/>
              <w:rPr>
                <w:rFonts w:ascii="Calibri" w:eastAsia="Times New Roman" w:hAnsi="Calibri" w:cs="Calibri"/>
                <w:color w:val="000000"/>
                <w:sz w:val="17"/>
                <w:szCs w:val="17"/>
                <w:lang w:val="en-GB"/>
              </w:rPr>
            </w:pPr>
            <w:r>
              <w:rPr>
                <w:rFonts w:ascii="Calibri" w:eastAsia="Times New Roman" w:hAnsi="Calibri" w:cs="Calibri"/>
                <w:color w:val="000000"/>
                <w:sz w:val="17"/>
                <w:szCs w:val="17"/>
                <w:lang w:val="en-GB"/>
              </w:rPr>
              <w:t>H</w:t>
            </w:r>
            <w:r w:rsidRPr="001469C8">
              <w:rPr>
                <w:rFonts w:ascii="Calibri" w:eastAsia="Times New Roman" w:hAnsi="Calibri" w:cs="Calibri"/>
                <w:color w:val="000000"/>
                <w:sz w:val="17"/>
                <w:szCs w:val="17"/>
                <w:lang w:val="en-GB"/>
              </w:rPr>
              <w:t xml:space="preserve">ousehold assistance </w:t>
            </w:r>
          </w:p>
          <w:p w14:paraId="771F88FA" w14:textId="77777777" w:rsidR="00257228" w:rsidRDefault="00257228" w:rsidP="00EB0FAE">
            <w:pPr>
              <w:jc w:val="both"/>
              <w:rPr>
                <w:rFonts w:ascii="Calibri" w:eastAsia="Times New Roman" w:hAnsi="Calibri" w:cs="Calibri"/>
                <w:color w:val="000000"/>
                <w:sz w:val="17"/>
                <w:szCs w:val="17"/>
                <w:lang w:val="en-GB"/>
              </w:rPr>
            </w:pPr>
          </w:p>
          <w:p w14:paraId="0FD6E82B" w14:textId="77777777" w:rsidR="00257228" w:rsidRDefault="00257228" w:rsidP="00EB0FAE">
            <w:pPr>
              <w:jc w:val="both"/>
              <w:rPr>
                <w:rFonts w:ascii="Calibri" w:eastAsia="Times New Roman" w:hAnsi="Calibri" w:cs="Calibri"/>
                <w:color w:val="000000"/>
                <w:sz w:val="17"/>
                <w:szCs w:val="17"/>
                <w:lang w:val="en-GB"/>
              </w:rPr>
            </w:pPr>
          </w:p>
          <w:p w14:paraId="42956B26" w14:textId="77777777" w:rsidR="00257228" w:rsidRPr="00AB7D26" w:rsidRDefault="00257228" w:rsidP="00EB0FAE">
            <w:pPr>
              <w:jc w:val="both"/>
              <w:rPr>
                <w:rFonts w:ascii="Calibri" w:eastAsia="Times New Roman" w:hAnsi="Calibri" w:cs="Calibri"/>
                <w:i/>
                <w:iCs/>
                <w:color w:val="000000"/>
                <w:sz w:val="17"/>
                <w:szCs w:val="17"/>
                <w:lang w:val="en-GB"/>
              </w:rPr>
            </w:pPr>
            <w:r w:rsidRPr="00AB7D26">
              <w:rPr>
                <w:rFonts w:ascii="Calibri" w:eastAsia="Times New Roman" w:hAnsi="Calibri" w:cs="Calibri"/>
                <w:i/>
                <w:iCs/>
                <w:color w:val="000000"/>
                <w:sz w:val="17"/>
                <w:szCs w:val="17"/>
                <w:lang w:val="en-GB"/>
              </w:rPr>
              <w:t>Can complement any nutrition-specific response option</w:t>
            </w:r>
          </w:p>
        </w:tc>
        <w:tc>
          <w:tcPr>
            <w:tcW w:w="2566" w:type="dxa"/>
          </w:tcPr>
          <w:p w14:paraId="793C6D1D" w14:textId="77777777" w:rsidR="00257228" w:rsidRDefault="00257228" w:rsidP="00EB0FAE">
            <w:pPr>
              <w:jc w:val="both"/>
              <w:rPr>
                <w:rFonts w:ascii="Calibri" w:eastAsia="Times New Roman" w:hAnsi="Calibri" w:cs="Calibri"/>
                <w:color w:val="000000"/>
                <w:sz w:val="17"/>
                <w:szCs w:val="17"/>
                <w:lang w:val="en-GB"/>
              </w:rPr>
            </w:pPr>
            <w:r w:rsidRPr="001469C8">
              <w:rPr>
                <w:rFonts w:ascii="Calibri" w:eastAsia="Times New Roman" w:hAnsi="Calibri" w:cs="Calibri"/>
                <w:color w:val="000000"/>
                <w:sz w:val="17"/>
                <w:szCs w:val="17"/>
                <w:lang w:val="en-GB"/>
              </w:rPr>
              <w:t>In-kind general food distribution (GFD)</w:t>
            </w:r>
            <w:r>
              <w:rPr>
                <w:rFonts w:ascii="Calibri" w:eastAsia="Times New Roman" w:hAnsi="Calibri" w:cs="Calibri"/>
                <w:color w:val="000000"/>
                <w:sz w:val="17"/>
                <w:szCs w:val="17"/>
                <w:lang w:val="en-GB"/>
              </w:rPr>
              <w:t xml:space="preserve"> </w:t>
            </w:r>
          </w:p>
          <w:p w14:paraId="1E32E959" w14:textId="77777777" w:rsidR="00257228" w:rsidRDefault="00257228" w:rsidP="00EB0FAE">
            <w:pPr>
              <w:jc w:val="both"/>
              <w:rPr>
                <w:rFonts w:ascii="Calibri" w:eastAsia="Times New Roman" w:hAnsi="Calibri" w:cs="Calibri"/>
                <w:color w:val="000000"/>
                <w:sz w:val="17"/>
                <w:szCs w:val="17"/>
                <w:lang w:val="en-GB"/>
              </w:rPr>
            </w:pPr>
            <w:r>
              <w:rPr>
                <w:rFonts w:ascii="Calibri" w:eastAsia="Times New Roman" w:hAnsi="Calibri" w:cs="Calibri"/>
                <w:color w:val="000000"/>
                <w:sz w:val="17"/>
                <w:szCs w:val="17"/>
                <w:lang w:val="en-GB"/>
              </w:rPr>
              <w:t>And</w:t>
            </w:r>
          </w:p>
          <w:p w14:paraId="222EBFE5" w14:textId="77777777" w:rsidR="00257228" w:rsidRPr="001469C8" w:rsidRDefault="00257228" w:rsidP="00EB0FAE">
            <w:pPr>
              <w:jc w:val="both"/>
              <w:rPr>
                <w:rFonts w:ascii="Calibri" w:eastAsia="Times New Roman" w:hAnsi="Calibri" w:cs="Calibri"/>
                <w:color w:val="000000"/>
                <w:sz w:val="17"/>
                <w:szCs w:val="17"/>
                <w:lang w:val="en-GB"/>
              </w:rPr>
            </w:pPr>
            <w:r>
              <w:rPr>
                <w:rFonts w:ascii="Calibri" w:eastAsia="Times New Roman" w:hAnsi="Calibri" w:cs="Calibri"/>
                <w:color w:val="000000"/>
                <w:sz w:val="17"/>
                <w:szCs w:val="17"/>
                <w:lang w:val="en-GB"/>
              </w:rPr>
              <w:t>n</w:t>
            </w:r>
            <w:r w:rsidRPr="001469C8">
              <w:rPr>
                <w:rFonts w:ascii="Calibri" w:eastAsia="Times New Roman" w:hAnsi="Calibri" w:cs="Calibri"/>
                <w:color w:val="000000"/>
                <w:sz w:val="17"/>
                <w:szCs w:val="17"/>
                <w:lang w:val="en-GB"/>
              </w:rPr>
              <w:t>on-food item distribution (NFI)</w:t>
            </w:r>
          </w:p>
        </w:tc>
        <w:tc>
          <w:tcPr>
            <w:tcW w:w="2700" w:type="dxa"/>
          </w:tcPr>
          <w:p w14:paraId="76846F62" w14:textId="77777777" w:rsidR="00257228" w:rsidRPr="0065202F" w:rsidRDefault="00257228" w:rsidP="00EB0FAE">
            <w:pPr>
              <w:jc w:val="both"/>
              <w:rPr>
                <w:sz w:val="17"/>
                <w:szCs w:val="17"/>
                <w:lang w:val="en-GB"/>
              </w:rPr>
            </w:pPr>
            <w:r>
              <w:rPr>
                <w:b/>
                <w:sz w:val="17"/>
                <w:szCs w:val="17"/>
                <w:lang w:val="en-GB"/>
              </w:rPr>
              <w:t>Replace</w:t>
            </w:r>
            <w:r w:rsidRPr="001469C8">
              <w:rPr>
                <w:sz w:val="17"/>
                <w:szCs w:val="17"/>
                <w:lang w:val="en-GB"/>
              </w:rPr>
              <w:t xml:space="preserve"> in-kind </w:t>
            </w:r>
            <w:r>
              <w:rPr>
                <w:sz w:val="17"/>
                <w:szCs w:val="17"/>
                <w:lang w:val="en-GB"/>
              </w:rPr>
              <w:t>assistance</w:t>
            </w:r>
            <w:r w:rsidRPr="001469C8">
              <w:rPr>
                <w:sz w:val="17"/>
                <w:szCs w:val="17"/>
                <w:lang w:val="en-GB"/>
              </w:rPr>
              <w:t xml:space="preserve"> through</w:t>
            </w:r>
            <w:r>
              <w:rPr>
                <w:sz w:val="17"/>
                <w:szCs w:val="17"/>
                <w:lang w:val="en-GB"/>
              </w:rPr>
              <w:t xml:space="preserve"> general household CVA</w:t>
            </w:r>
          </w:p>
        </w:tc>
        <w:tc>
          <w:tcPr>
            <w:tcW w:w="2970" w:type="dxa"/>
          </w:tcPr>
          <w:p w14:paraId="51B1EF79" w14:textId="77777777" w:rsidR="00257228" w:rsidRPr="001469C8" w:rsidRDefault="00257228" w:rsidP="00257228">
            <w:pPr>
              <w:pStyle w:val="ListParagraph"/>
              <w:numPr>
                <w:ilvl w:val="0"/>
                <w:numId w:val="11"/>
              </w:numPr>
              <w:jc w:val="both"/>
              <w:rPr>
                <w:sz w:val="17"/>
                <w:szCs w:val="17"/>
                <w:lang w:val="en-GB"/>
              </w:rPr>
            </w:pPr>
            <w:r w:rsidRPr="001469C8">
              <w:rPr>
                <w:sz w:val="17"/>
                <w:szCs w:val="17"/>
                <w:lang w:val="en-GB"/>
              </w:rPr>
              <w:t>Improve household food security and dietary diversity</w:t>
            </w:r>
          </w:p>
          <w:p w14:paraId="323CCBF3" w14:textId="77777777" w:rsidR="00257228" w:rsidRPr="001469C8" w:rsidRDefault="00257228" w:rsidP="00257228">
            <w:pPr>
              <w:pStyle w:val="ListParagraph"/>
              <w:numPr>
                <w:ilvl w:val="0"/>
                <w:numId w:val="11"/>
              </w:numPr>
              <w:jc w:val="both"/>
              <w:rPr>
                <w:sz w:val="17"/>
                <w:szCs w:val="17"/>
                <w:lang w:val="en-GB"/>
              </w:rPr>
            </w:pPr>
            <w:r w:rsidRPr="001469C8">
              <w:rPr>
                <w:sz w:val="17"/>
                <w:szCs w:val="17"/>
                <w:lang w:val="en-GB"/>
              </w:rPr>
              <w:t>Protect nutritional status</w:t>
            </w:r>
          </w:p>
          <w:p w14:paraId="6168FEB2" w14:textId="77777777" w:rsidR="00257228" w:rsidRPr="009C5BBD" w:rsidRDefault="00257228" w:rsidP="00257228">
            <w:pPr>
              <w:pStyle w:val="ListParagraph"/>
              <w:numPr>
                <w:ilvl w:val="0"/>
                <w:numId w:val="11"/>
              </w:numPr>
              <w:jc w:val="both"/>
              <w:rPr>
                <w:sz w:val="17"/>
                <w:szCs w:val="17"/>
                <w:lang w:val="en-GB"/>
              </w:rPr>
            </w:pPr>
            <w:r w:rsidRPr="009C5BBD">
              <w:rPr>
                <w:sz w:val="17"/>
                <w:szCs w:val="17"/>
                <w:lang w:val="en-GB"/>
              </w:rPr>
              <w:t xml:space="preserve">If provided in combination with </w:t>
            </w:r>
            <w:r>
              <w:rPr>
                <w:sz w:val="17"/>
                <w:szCs w:val="17"/>
                <w:lang w:val="en-GB"/>
              </w:rPr>
              <w:t>individual feeding</w:t>
            </w:r>
            <w:r w:rsidRPr="009C5BBD">
              <w:rPr>
                <w:sz w:val="17"/>
                <w:szCs w:val="17"/>
                <w:lang w:val="en-GB"/>
              </w:rPr>
              <w:t>: Reduce sharing of specialized nutritious foods</w:t>
            </w:r>
          </w:p>
          <w:p w14:paraId="13FFCF34" w14:textId="77777777" w:rsidR="00257228" w:rsidRPr="009C5BBD" w:rsidRDefault="00257228" w:rsidP="00257228">
            <w:pPr>
              <w:pStyle w:val="ListParagraph"/>
              <w:numPr>
                <w:ilvl w:val="0"/>
                <w:numId w:val="11"/>
              </w:numPr>
              <w:jc w:val="both"/>
              <w:rPr>
                <w:sz w:val="17"/>
                <w:szCs w:val="17"/>
                <w:lang w:val="en-GB"/>
              </w:rPr>
            </w:pPr>
            <w:r w:rsidRPr="009C5BBD">
              <w:rPr>
                <w:sz w:val="17"/>
                <w:szCs w:val="17"/>
                <w:lang w:val="en-GB"/>
              </w:rPr>
              <w:t xml:space="preserve">If provided in combination treatment: Reduce defaulting, non-response to treatment and relapse. </w:t>
            </w:r>
          </w:p>
        </w:tc>
      </w:tr>
      <w:tr w:rsidR="00257228" w:rsidRPr="001469C8" w14:paraId="65BC1438" w14:textId="77777777" w:rsidTr="00EB0FAE">
        <w:tc>
          <w:tcPr>
            <w:tcW w:w="1749" w:type="dxa"/>
            <w:tcBorders>
              <w:bottom w:val="single" w:sz="4" w:space="0" w:color="000000" w:themeColor="text1"/>
            </w:tcBorders>
            <w:shd w:val="clear" w:color="auto" w:fill="FFE599" w:themeFill="accent4" w:themeFillTint="66"/>
          </w:tcPr>
          <w:p w14:paraId="7ECD3F38" w14:textId="77777777" w:rsidR="00257228" w:rsidRPr="001469C8" w:rsidRDefault="00257228" w:rsidP="00EB0FAE">
            <w:pPr>
              <w:jc w:val="both"/>
              <w:rPr>
                <w:rFonts w:ascii="Calibri" w:eastAsia="Times New Roman" w:hAnsi="Calibri" w:cs="Calibri"/>
                <w:color w:val="000000"/>
                <w:sz w:val="17"/>
                <w:szCs w:val="17"/>
                <w:lang w:val="en-GB"/>
              </w:rPr>
            </w:pPr>
            <w:r>
              <w:rPr>
                <w:rFonts w:ascii="Calibri" w:eastAsia="Times New Roman" w:hAnsi="Calibri" w:cs="Calibri"/>
                <w:color w:val="000000"/>
                <w:sz w:val="17"/>
                <w:szCs w:val="17"/>
                <w:lang w:val="en-GB"/>
              </w:rPr>
              <w:t>Livelihood support</w:t>
            </w:r>
          </w:p>
        </w:tc>
        <w:tc>
          <w:tcPr>
            <w:tcW w:w="2566" w:type="dxa"/>
          </w:tcPr>
          <w:p w14:paraId="22FF496C" w14:textId="77777777" w:rsidR="00257228" w:rsidRDefault="00257228" w:rsidP="00EB0FAE">
            <w:pPr>
              <w:jc w:val="both"/>
              <w:rPr>
                <w:rFonts w:ascii="Calibri" w:eastAsia="Times New Roman" w:hAnsi="Calibri" w:cs="Calibri"/>
                <w:color w:val="000000"/>
                <w:sz w:val="17"/>
                <w:szCs w:val="17"/>
                <w:lang w:val="en-GB"/>
              </w:rPr>
            </w:pPr>
            <w:r>
              <w:rPr>
                <w:rFonts w:ascii="Calibri" w:eastAsia="Times New Roman" w:hAnsi="Calibri" w:cs="Calibri"/>
                <w:color w:val="000000"/>
                <w:sz w:val="17"/>
                <w:szCs w:val="17"/>
                <w:lang w:val="en-GB"/>
              </w:rPr>
              <w:t>Cash grants</w:t>
            </w:r>
          </w:p>
          <w:p w14:paraId="36B0744D" w14:textId="77777777" w:rsidR="00257228" w:rsidRPr="001469C8" w:rsidRDefault="00257228" w:rsidP="00EB0FAE">
            <w:pPr>
              <w:jc w:val="both"/>
              <w:rPr>
                <w:rFonts w:ascii="Calibri" w:eastAsia="Times New Roman" w:hAnsi="Calibri" w:cs="Calibri"/>
                <w:color w:val="000000"/>
                <w:sz w:val="17"/>
                <w:szCs w:val="17"/>
                <w:lang w:val="en-GB"/>
              </w:rPr>
            </w:pPr>
            <w:r>
              <w:rPr>
                <w:rFonts w:ascii="Calibri" w:eastAsia="Times New Roman" w:hAnsi="Calibri" w:cs="Calibri"/>
                <w:color w:val="000000"/>
                <w:sz w:val="17"/>
                <w:szCs w:val="17"/>
                <w:lang w:val="en-GB"/>
              </w:rPr>
              <w:t>Livelihood in-kind inputs (seeds, tools, etc.)</w:t>
            </w:r>
          </w:p>
        </w:tc>
        <w:tc>
          <w:tcPr>
            <w:tcW w:w="2700" w:type="dxa"/>
          </w:tcPr>
          <w:p w14:paraId="2A6A6D10" w14:textId="77777777" w:rsidR="00257228" w:rsidRPr="001F4284" w:rsidRDefault="00257228" w:rsidP="00EB0FAE">
            <w:pPr>
              <w:jc w:val="both"/>
              <w:rPr>
                <w:bCs/>
                <w:sz w:val="17"/>
                <w:szCs w:val="17"/>
                <w:lang w:val="en-GB"/>
              </w:rPr>
            </w:pPr>
            <w:r w:rsidRPr="001F4284">
              <w:rPr>
                <w:bCs/>
                <w:sz w:val="17"/>
                <w:szCs w:val="17"/>
                <w:lang w:val="en-GB"/>
              </w:rPr>
              <w:t>Cash grants and vouchers for productive inputs commonly used</w:t>
            </w:r>
            <w:r>
              <w:rPr>
                <w:bCs/>
                <w:sz w:val="17"/>
                <w:szCs w:val="17"/>
                <w:lang w:val="en-GB"/>
              </w:rPr>
              <w:t xml:space="preserve"> in livelihood support interventions</w:t>
            </w:r>
          </w:p>
        </w:tc>
        <w:tc>
          <w:tcPr>
            <w:tcW w:w="2970" w:type="dxa"/>
          </w:tcPr>
          <w:p w14:paraId="4FE6D667" w14:textId="77777777" w:rsidR="00257228" w:rsidRPr="001469C8" w:rsidRDefault="00257228" w:rsidP="00257228">
            <w:pPr>
              <w:pStyle w:val="ListParagraph"/>
              <w:numPr>
                <w:ilvl w:val="0"/>
                <w:numId w:val="11"/>
              </w:numPr>
              <w:jc w:val="both"/>
              <w:rPr>
                <w:sz w:val="17"/>
                <w:szCs w:val="17"/>
                <w:lang w:val="en-GB"/>
              </w:rPr>
            </w:pPr>
            <w:r>
              <w:rPr>
                <w:sz w:val="17"/>
                <w:szCs w:val="17"/>
                <w:lang w:val="en-GB"/>
              </w:rPr>
              <w:t>Enhance food production and/or income generation</w:t>
            </w:r>
          </w:p>
        </w:tc>
      </w:tr>
      <w:tr w:rsidR="00257228" w:rsidRPr="00E85CD3" w14:paraId="41A588C7" w14:textId="77777777" w:rsidTr="00EB0FAE">
        <w:tc>
          <w:tcPr>
            <w:tcW w:w="9985" w:type="dxa"/>
            <w:gridSpan w:val="4"/>
            <w:shd w:val="clear" w:color="auto" w:fill="C5E0B3" w:themeFill="accent6" w:themeFillTint="66"/>
          </w:tcPr>
          <w:p w14:paraId="7B608A46" w14:textId="77777777" w:rsidR="00257228" w:rsidRPr="00E85CD3" w:rsidRDefault="00257228" w:rsidP="00EB0FAE">
            <w:pPr>
              <w:jc w:val="center"/>
              <w:rPr>
                <w:b/>
                <w:i/>
                <w:iCs/>
                <w:sz w:val="17"/>
                <w:szCs w:val="17"/>
                <w:lang w:val="en-GB"/>
              </w:rPr>
            </w:pPr>
            <w:r>
              <w:rPr>
                <w:b/>
                <w:i/>
                <w:iCs/>
                <w:sz w:val="17"/>
                <w:szCs w:val="17"/>
                <w:lang w:val="en-GB"/>
              </w:rPr>
              <w:t>Nutrition-specific r</w:t>
            </w:r>
            <w:r w:rsidRPr="00E85CD3">
              <w:rPr>
                <w:b/>
                <w:i/>
                <w:iCs/>
                <w:sz w:val="17"/>
                <w:szCs w:val="17"/>
                <w:lang w:val="en-GB"/>
              </w:rPr>
              <w:t>esponse options aimed at preventing</w:t>
            </w:r>
            <w:r>
              <w:rPr>
                <w:b/>
                <w:i/>
                <w:iCs/>
                <w:sz w:val="17"/>
                <w:szCs w:val="17"/>
                <w:lang w:val="en-GB"/>
              </w:rPr>
              <w:t xml:space="preserve"> malnutrition</w:t>
            </w:r>
          </w:p>
        </w:tc>
      </w:tr>
      <w:tr w:rsidR="00257228" w:rsidRPr="001469C8" w14:paraId="3273AE42" w14:textId="77777777" w:rsidTr="00EB0FAE">
        <w:tc>
          <w:tcPr>
            <w:tcW w:w="1749" w:type="dxa"/>
            <w:tcBorders>
              <w:bottom w:val="single" w:sz="4" w:space="0" w:color="auto"/>
            </w:tcBorders>
            <w:shd w:val="clear" w:color="auto" w:fill="C5E0B3" w:themeFill="accent6" w:themeFillTint="66"/>
          </w:tcPr>
          <w:p w14:paraId="067D231F" w14:textId="23724C0C" w:rsidR="00257228" w:rsidRPr="001469C8" w:rsidRDefault="00257228" w:rsidP="00EB0FAE">
            <w:pPr>
              <w:jc w:val="both"/>
              <w:rPr>
                <w:sz w:val="17"/>
                <w:szCs w:val="17"/>
                <w:lang w:val="en-GB"/>
              </w:rPr>
            </w:pPr>
            <w:r>
              <w:rPr>
                <w:rFonts w:ascii="Calibri" w:eastAsia="Times New Roman" w:hAnsi="Calibri" w:cs="Calibri"/>
                <w:color w:val="000000"/>
                <w:sz w:val="17"/>
                <w:szCs w:val="17"/>
                <w:lang w:val="en-GB"/>
              </w:rPr>
              <w:t>IYCF through s</w:t>
            </w:r>
            <w:r w:rsidRPr="001469C8">
              <w:rPr>
                <w:rFonts w:ascii="Calibri" w:eastAsia="Times New Roman" w:hAnsi="Calibri" w:cs="Calibri"/>
                <w:color w:val="000000"/>
                <w:sz w:val="17"/>
                <w:szCs w:val="17"/>
                <w:lang w:val="en-GB"/>
              </w:rPr>
              <w:t xml:space="preserve">ocial and behavioural change </w:t>
            </w:r>
            <w:r w:rsidR="00CA377F">
              <w:rPr>
                <w:rFonts w:ascii="Calibri" w:eastAsia="Times New Roman" w:hAnsi="Calibri" w:cs="Calibri"/>
                <w:color w:val="000000"/>
                <w:sz w:val="17"/>
                <w:szCs w:val="17"/>
                <w:lang w:val="en-GB"/>
              </w:rPr>
              <w:t>activities</w:t>
            </w:r>
          </w:p>
        </w:tc>
        <w:tc>
          <w:tcPr>
            <w:tcW w:w="2566" w:type="dxa"/>
          </w:tcPr>
          <w:p w14:paraId="09B91429" w14:textId="77777777" w:rsidR="00257228" w:rsidRPr="001469C8" w:rsidRDefault="00257228" w:rsidP="00EB0FAE">
            <w:pPr>
              <w:jc w:val="both"/>
              <w:rPr>
                <w:sz w:val="17"/>
                <w:szCs w:val="17"/>
                <w:lang w:val="en-GB"/>
              </w:rPr>
            </w:pPr>
            <w:r w:rsidRPr="001469C8">
              <w:rPr>
                <w:rFonts w:ascii="Calibri" w:eastAsia="Times New Roman" w:hAnsi="Calibri" w:cs="Calibri"/>
                <w:color w:val="000000"/>
                <w:sz w:val="17"/>
                <w:szCs w:val="17"/>
                <w:lang w:val="en-GB"/>
              </w:rPr>
              <w:t>Communication and counselling services</w:t>
            </w:r>
          </w:p>
        </w:tc>
        <w:tc>
          <w:tcPr>
            <w:tcW w:w="2700" w:type="dxa"/>
          </w:tcPr>
          <w:p w14:paraId="1C472FB4" w14:textId="77777777" w:rsidR="00257228" w:rsidRPr="001469C8" w:rsidRDefault="00257228" w:rsidP="00EB0FAE">
            <w:pPr>
              <w:jc w:val="both"/>
              <w:rPr>
                <w:sz w:val="17"/>
                <w:szCs w:val="17"/>
                <w:lang w:val="en-GB"/>
              </w:rPr>
            </w:pPr>
            <w:r w:rsidRPr="001469C8">
              <w:rPr>
                <w:sz w:val="17"/>
                <w:szCs w:val="17"/>
                <w:lang w:val="en-GB"/>
              </w:rPr>
              <w:t xml:space="preserve">CVA can be provided </w:t>
            </w:r>
            <w:r w:rsidRPr="001469C8">
              <w:rPr>
                <w:b/>
                <w:bCs/>
                <w:sz w:val="17"/>
                <w:szCs w:val="17"/>
                <w:lang w:val="en-GB"/>
              </w:rPr>
              <w:t>conditional</w:t>
            </w:r>
            <w:r w:rsidRPr="001469C8">
              <w:rPr>
                <w:sz w:val="17"/>
                <w:szCs w:val="17"/>
                <w:lang w:val="en-GB"/>
              </w:rPr>
              <w:t xml:space="preserve"> on attendance in SBCC activities</w:t>
            </w:r>
          </w:p>
        </w:tc>
        <w:tc>
          <w:tcPr>
            <w:tcW w:w="2970" w:type="dxa"/>
          </w:tcPr>
          <w:p w14:paraId="71FDD8D1" w14:textId="77777777" w:rsidR="00257228" w:rsidRPr="001469C8" w:rsidRDefault="00257228" w:rsidP="00257228">
            <w:pPr>
              <w:pStyle w:val="ListParagraph"/>
              <w:numPr>
                <w:ilvl w:val="0"/>
                <w:numId w:val="10"/>
              </w:numPr>
              <w:jc w:val="both"/>
              <w:rPr>
                <w:rFonts w:ascii="Calibri" w:eastAsia="Times New Roman" w:hAnsi="Calibri" w:cs="Calibri"/>
                <w:color w:val="000000"/>
                <w:sz w:val="17"/>
                <w:szCs w:val="17"/>
                <w:lang w:val="en-GB"/>
              </w:rPr>
            </w:pPr>
            <w:r w:rsidRPr="001469C8">
              <w:rPr>
                <w:rFonts w:ascii="Calibri" w:eastAsia="Times New Roman" w:hAnsi="Calibri" w:cs="Calibri"/>
                <w:color w:val="000000"/>
                <w:sz w:val="17"/>
                <w:szCs w:val="17"/>
                <w:lang w:val="en-GB"/>
              </w:rPr>
              <w:t>Incentivize participation in SBCC activities</w:t>
            </w:r>
          </w:p>
        </w:tc>
      </w:tr>
      <w:tr w:rsidR="00257228" w:rsidRPr="001469C8" w14:paraId="78AFF106" w14:textId="77777777" w:rsidTr="00EB0FAE">
        <w:tc>
          <w:tcPr>
            <w:tcW w:w="1749" w:type="dxa"/>
            <w:shd w:val="clear" w:color="auto" w:fill="C5E0B3" w:themeFill="accent6" w:themeFillTint="66"/>
          </w:tcPr>
          <w:p w14:paraId="1AF0D5D9" w14:textId="3BC58FD5" w:rsidR="00257228" w:rsidRPr="001469C8" w:rsidRDefault="00257228" w:rsidP="00EB0FAE">
            <w:pPr>
              <w:jc w:val="both"/>
              <w:rPr>
                <w:sz w:val="17"/>
                <w:szCs w:val="17"/>
                <w:lang w:val="en-GB"/>
              </w:rPr>
            </w:pPr>
            <w:r w:rsidRPr="001469C8">
              <w:rPr>
                <w:sz w:val="17"/>
                <w:szCs w:val="17"/>
                <w:lang w:val="en-GB"/>
              </w:rPr>
              <w:t>Blanket supplementary feeding</w:t>
            </w:r>
          </w:p>
          <w:p w14:paraId="24489E54" w14:textId="77777777" w:rsidR="00257228" w:rsidRPr="001469C8" w:rsidRDefault="00257228" w:rsidP="00EB0FAE">
            <w:pPr>
              <w:jc w:val="both"/>
              <w:rPr>
                <w:sz w:val="17"/>
                <w:szCs w:val="17"/>
                <w:lang w:val="en-GB"/>
              </w:rPr>
            </w:pPr>
          </w:p>
          <w:p w14:paraId="10EED4B6" w14:textId="77777777" w:rsidR="00257228" w:rsidRPr="001469C8" w:rsidRDefault="00257228" w:rsidP="00EB0FAE">
            <w:pPr>
              <w:jc w:val="both"/>
              <w:rPr>
                <w:sz w:val="17"/>
                <w:szCs w:val="17"/>
                <w:lang w:val="en-GB"/>
              </w:rPr>
            </w:pPr>
          </w:p>
        </w:tc>
        <w:tc>
          <w:tcPr>
            <w:tcW w:w="2566" w:type="dxa"/>
          </w:tcPr>
          <w:p w14:paraId="3562F594" w14:textId="77777777" w:rsidR="00257228" w:rsidRPr="001469C8" w:rsidRDefault="00257228" w:rsidP="00EB0FAE">
            <w:pPr>
              <w:jc w:val="both"/>
              <w:rPr>
                <w:sz w:val="17"/>
                <w:szCs w:val="17"/>
                <w:lang w:val="en-GB"/>
              </w:rPr>
            </w:pPr>
            <w:r w:rsidRPr="001469C8">
              <w:rPr>
                <w:sz w:val="17"/>
                <w:szCs w:val="17"/>
                <w:lang w:val="en-GB"/>
              </w:rPr>
              <w:t xml:space="preserve">Specialized nutritious foods: LNS-MQ; fortified blended foods </w:t>
            </w:r>
          </w:p>
          <w:p w14:paraId="3073EFBB" w14:textId="77777777" w:rsidR="00257228" w:rsidRPr="001469C8" w:rsidRDefault="00257228" w:rsidP="00EB0FAE">
            <w:pPr>
              <w:jc w:val="both"/>
              <w:rPr>
                <w:sz w:val="17"/>
                <w:szCs w:val="17"/>
                <w:lang w:val="en-GB"/>
              </w:rPr>
            </w:pPr>
          </w:p>
          <w:p w14:paraId="6AC09EEA" w14:textId="77777777" w:rsidR="00257228" w:rsidRPr="001469C8" w:rsidRDefault="00257228" w:rsidP="00EB0FAE">
            <w:pPr>
              <w:jc w:val="both"/>
              <w:rPr>
                <w:sz w:val="17"/>
                <w:szCs w:val="17"/>
                <w:lang w:val="en-GB"/>
              </w:rPr>
            </w:pPr>
          </w:p>
        </w:tc>
        <w:tc>
          <w:tcPr>
            <w:tcW w:w="2700" w:type="dxa"/>
          </w:tcPr>
          <w:p w14:paraId="7A9D69DF" w14:textId="77777777" w:rsidR="00257228" w:rsidRPr="001469C8" w:rsidRDefault="00257228" w:rsidP="00EB0FAE">
            <w:pPr>
              <w:jc w:val="both"/>
              <w:rPr>
                <w:sz w:val="17"/>
                <w:szCs w:val="17"/>
                <w:lang w:val="en-GB"/>
              </w:rPr>
            </w:pPr>
            <w:r>
              <w:rPr>
                <w:b/>
                <w:sz w:val="17"/>
                <w:szCs w:val="17"/>
                <w:lang w:val="en-GB"/>
              </w:rPr>
              <w:t>Replace</w:t>
            </w:r>
            <w:r w:rsidRPr="001469C8">
              <w:rPr>
                <w:sz w:val="17"/>
                <w:szCs w:val="17"/>
                <w:lang w:val="en-GB"/>
              </w:rPr>
              <w:t xml:space="preserve"> in-kind food products through</w:t>
            </w:r>
          </w:p>
          <w:p w14:paraId="03F37B50" w14:textId="77777777" w:rsidR="00257228" w:rsidRPr="001469C8" w:rsidRDefault="00257228" w:rsidP="00257228">
            <w:pPr>
              <w:pStyle w:val="ListParagraph"/>
              <w:numPr>
                <w:ilvl w:val="0"/>
                <w:numId w:val="12"/>
              </w:numPr>
              <w:jc w:val="both"/>
              <w:rPr>
                <w:sz w:val="17"/>
                <w:szCs w:val="17"/>
                <w:lang w:val="en-GB"/>
              </w:rPr>
            </w:pPr>
            <w:r w:rsidRPr="001469C8">
              <w:rPr>
                <w:sz w:val="17"/>
                <w:szCs w:val="17"/>
                <w:lang w:val="en-GB"/>
              </w:rPr>
              <w:t>Cash top-up amount based on the nutrient requirements of at-risk groups</w:t>
            </w:r>
          </w:p>
          <w:p w14:paraId="2ECE63BC" w14:textId="77777777" w:rsidR="00257228" w:rsidRPr="001469C8" w:rsidRDefault="00257228" w:rsidP="00257228">
            <w:pPr>
              <w:pStyle w:val="ListParagraph"/>
              <w:numPr>
                <w:ilvl w:val="0"/>
                <w:numId w:val="12"/>
              </w:numPr>
              <w:jc w:val="both"/>
              <w:rPr>
                <w:sz w:val="17"/>
                <w:szCs w:val="17"/>
                <w:lang w:val="en-GB"/>
              </w:rPr>
            </w:pPr>
            <w:r w:rsidRPr="001469C8">
              <w:rPr>
                <w:sz w:val="17"/>
                <w:szCs w:val="17"/>
                <w:lang w:val="en-GB"/>
              </w:rPr>
              <w:t>(Fresh) food vouchers value and composition based on the nutrient requirements of at-risk groups</w:t>
            </w:r>
          </w:p>
        </w:tc>
        <w:tc>
          <w:tcPr>
            <w:tcW w:w="2970" w:type="dxa"/>
          </w:tcPr>
          <w:p w14:paraId="3ED4FB90" w14:textId="77777777" w:rsidR="00257228" w:rsidRPr="001469C8" w:rsidRDefault="00257228" w:rsidP="00257228">
            <w:pPr>
              <w:pStyle w:val="ListParagraph"/>
              <w:numPr>
                <w:ilvl w:val="0"/>
                <w:numId w:val="12"/>
              </w:numPr>
              <w:jc w:val="both"/>
              <w:rPr>
                <w:sz w:val="17"/>
                <w:szCs w:val="17"/>
                <w:lang w:val="en-GB"/>
              </w:rPr>
            </w:pPr>
            <w:r w:rsidRPr="001469C8">
              <w:rPr>
                <w:sz w:val="17"/>
                <w:szCs w:val="17"/>
                <w:lang w:val="en-GB"/>
              </w:rPr>
              <w:t>To prevent deterioration in the nutritional status of at-risk groups.</w:t>
            </w:r>
          </w:p>
          <w:p w14:paraId="0BC39C1B" w14:textId="77777777" w:rsidR="00257228" w:rsidRPr="001469C8" w:rsidRDefault="00257228" w:rsidP="00257228">
            <w:pPr>
              <w:pStyle w:val="ListParagraph"/>
              <w:numPr>
                <w:ilvl w:val="0"/>
                <w:numId w:val="12"/>
              </w:numPr>
              <w:jc w:val="both"/>
              <w:rPr>
                <w:sz w:val="17"/>
                <w:szCs w:val="17"/>
                <w:lang w:val="en-GB"/>
              </w:rPr>
            </w:pPr>
            <w:r w:rsidRPr="001469C8">
              <w:rPr>
                <w:sz w:val="17"/>
                <w:szCs w:val="17"/>
                <w:lang w:val="en-GB"/>
              </w:rPr>
              <w:t>To reduce the prevalence of MAM in children under five thereby reducing the mortality and morbidity risk.</w:t>
            </w:r>
          </w:p>
          <w:p w14:paraId="6A4874A6" w14:textId="77777777" w:rsidR="00257228" w:rsidRPr="00584980" w:rsidRDefault="00257228" w:rsidP="00257228">
            <w:pPr>
              <w:pStyle w:val="ListParagraph"/>
              <w:numPr>
                <w:ilvl w:val="0"/>
                <w:numId w:val="12"/>
              </w:numPr>
              <w:jc w:val="both"/>
              <w:rPr>
                <w:sz w:val="17"/>
                <w:szCs w:val="17"/>
                <w:lang w:val="en-GB"/>
              </w:rPr>
            </w:pPr>
            <w:r w:rsidRPr="001469C8">
              <w:rPr>
                <w:sz w:val="17"/>
                <w:szCs w:val="17"/>
                <w:lang w:val="en-GB"/>
              </w:rPr>
              <w:t>Increase access to fresh and nutritious foods</w:t>
            </w:r>
          </w:p>
        </w:tc>
      </w:tr>
      <w:tr w:rsidR="00257228" w:rsidRPr="001469C8" w14:paraId="003E305C" w14:textId="77777777" w:rsidTr="00EB0FAE">
        <w:tc>
          <w:tcPr>
            <w:tcW w:w="1749" w:type="dxa"/>
            <w:shd w:val="clear" w:color="auto" w:fill="C5E0B3" w:themeFill="accent6" w:themeFillTint="66"/>
          </w:tcPr>
          <w:p w14:paraId="10BE6287" w14:textId="77777777" w:rsidR="00257228" w:rsidRPr="001469C8" w:rsidRDefault="00257228" w:rsidP="00EB0FAE">
            <w:pPr>
              <w:jc w:val="both"/>
              <w:rPr>
                <w:sz w:val="17"/>
                <w:szCs w:val="17"/>
                <w:lang w:val="en-GB"/>
              </w:rPr>
            </w:pPr>
            <w:r w:rsidRPr="001469C8">
              <w:rPr>
                <w:sz w:val="17"/>
                <w:szCs w:val="17"/>
                <w:lang w:val="en-GB"/>
              </w:rPr>
              <w:t xml:space="preserve">Complementary feeding </w:t>
            </w:r>
          </w:p>
        </w:tc>
        <w:tc>
          <w:tcPr>
            <w:tcW w:w="2566" w:type="dxa"/>
          </w:tcPr>
          <w:p w14:paraId="72D68585" w14:textId="77777777" w:rsidR="00257228" w:rsidRPr="001469C8" w:rsidRDefault="00257228" w:rsidP="00EB0FAE">
            <w:pPr>
              <w:jc w:val="both"/>
              <w:rPr>
                <w:sz w:val="17"/>
                <w:szCs w:val="17"/>
                <w:lang w:val="en-GB"/>
              </w:rPr>
            </w:pPr>
            <w:r w:rsidRPr="001469C8">
              <w:rPr>
                <w:sz w:val="17"/>
                <w:szCs w:val="17"/>
                <w:lang w:val="en-GB"/>
              </w:rPr>
              <w:t>Specialized nutritious foods such as fortified foods and micronutrient powders targeting children 6-23 months</w:t>
            </w:r>
          </w:p>
        </w:tc>
        <w:tc>
          <w:tcPr>
            <w:tcW w:w="2700" w:type="dxa"/>
          </w:tcPr>
          <w:p w14:paraId="2ACD2D2A" w14:textId="77777777" w:rsidR="00257228" w:rsidRPr="001469C8" w:rsidRDefault="00257228" w:rsidP="00EB0FAE">
            <w:pPr>
              <w:jc w:val="both"/>
              <w:rPr>
                <w:sz w:val="17"/>
                <w:szCs w:val="17"/>
                <w:lang w:val="en-GB"/>
              </w:rPr>
            </w:pPr>
            <w:r>
              <w:rPr>
                <w:b/>
                <w:sz w:val="17"/>
                <w:szCs w:val="17"/>
                <w:lang w:val="en-GB"/>
              </w:rPr>
              <w:t>Replace</w:t>
            </w:r>
            <w:r w:rsidRPr="001469C8">
              <w:rPr>
                <w:sz w:val="17"/>
                <w:szCs w:val="17"/>
                <w:lang w:val="en-GB"/>
              </w:rPr>
              <w:t xml:space="preserve"> in-kind </w:t>
            </w:r>
            <w:r>
              <w:rPr>
                <w:sz w:val="17"/>
                <w:szCs w:val="17"/>
                <w:lang w:val="en-GB"/>
              </w:rPr>
              <w:t xml:space="preserve">specialized nutritious </w:t>
            </w:r>
            <w:r w:rsidRPr="001469C8">
              <w:rPr>
                <w:sz w:val="17"/>
                <w:szCs w:val="17"/>
                <w:lang w:val="en-GB"/>
              </w:rPr>
              <w:t>food</w:t>
            </w:r>
            <w:r>
              <w:rPr>
                <w:sz w:val="17"/>
                <w:szCs w:val="17"/>
                <w:lang w:val="en-GB"/>
              </w:rPr>
              <w:t>s</w:t>
            </w:r>
            <w:r w:rsidRPr="001469C8">
              <w:rPr>
                <w:sz w:val="17"/>
                <w:szCs w:val="17"/>
                <w:lang w:val="en-GB"/>
              </w:rPr>
              <w:t xml:space="preserve"> through</w:t>
            </w:r>
          </w:p>
          <w:p w14:paraId="1C4A62D3" w14:textId="77777777" w:rsidR="00257228" w:rsidRPr="001469C8" w:rsidRDefault="00257228" w:rsidP="00257228">
            <w:pPr>
              <w:pStyle w:val="ListParagraph"/>
              <w:numPr>
                <w:ilvl w:val="0"/>
                <w:numId w:val="12"/>
              </w:numPr>
              <w:jc w:val="both"/>
              <w:rPr>
                <w:sz w:val="17"/>
                <w:szCs w:val="17"/>
                <w:lang w:val="en-GB"/>
              </w:rPr>
            </w:pPr>
            <w:r w:rsidRPr="001469C8">
              <w:rPr>
                <w:sz w:val="17"/>
                <w:szCs w:val="17"/>
                <w:lang w:val="en-GB"/>
              </w:rPr>
              <w:t>Cash top-up amount based on the nutrient requirements of at-risk groups</w:t>
            </w:r>
          </w:p>
          <w:p w14:paraId="6CBE05D3" w14:textId="77777777" w:rsidR="00257228" w:rsidRPr="00280268" w:rsidRDefault="00257228" w:rsidP="00257228">
            <w:pPr>
              <w:pStyle w:val="ListParagraph"/>
              <w:numPr>
                <w:ilvl w:val="0"/>
                <w:numId w:val="12"/>
              </w:numPr>
              <w:jc w:val="both"/>
              <w:rPr>
                <w:b/>
                <w:sz w:val="17"/>
                <w:szCs w:val="17"/>
                <w:lang w:val="en-GB"/>
              </w:rPr>
            </w:pPr>
            <w:r w:rsidRPr="00280268">
              <w:rPr>
                <w:sz w:val="17"/>
                <w:szCs w:val="17"/>
                <w:lang w:val="en-GB"/>
              </w:rPr>
              <w:t>(Fresh) food vouchers value and composition based on the nutrient requirements of at-risk groups</w:t>
            </w:r>
          </w:p>
        </w:tc>
        <w:tc>
          <w:tcPr>
            <w:tcW w:w="2970" w:type="dxa"/>
          </w:tcPr>
          <w:p w14:paraId="50F2734D" w14:textId="77777777" w:rsidR="00257228" w:rsidRPr="001469C8" w:rsidRDefault="00257228" w:rsidP="00257228">
            <w:pPr>
              <w:pStyle w:val="ListParagraph"/>
              <w:numPr>
                <w:ilvl w:val="0"/>
                <w:numId w:val="12"/>
              </w:numPr>
              <w:jc w:val="both"/>
              <w:rPr>
                <w:sz w:val="17"/>
                <w:szCs w:val="17"/>
                <w:lang w:val="en-GB"/>
              </w:rPr>
            </w:pPr>
            <w:r w:rsidRPr="001469C8">
              <w:rPr>
                <w:sz w:val="17"/>
                <w:szCs w:val="17"/>
                <w:lang w:val="en-GB"/>
              </w:rPr>
              <w:t>children between 6-23 months receive sufficient macro and micro-nutrients for their growth and development</w:t>
            </w:r>
          </w:p>
        </w:tc>
      </w:tr>
      <w:tr w:rsidR="00257228" w:rsidRPr="001469C8" w14:paraId="385F838B" w14:textId="77777777" w:rsidTr="00EB0FAE">
        <w:tc>
          <w:tcPr>
            <w:tcW w:w="1749" w:type="dxa"/>
            <w:shd w:val="clear" w:color="auto" w:fill="C5E0B3" w:themeFill="accent6" w:themeFillTint="66"/>
          </w:tcPr>
          <w:p w14:paraId="6CD1F5A9" w14:textId="77777777" w:rsidR="00257228" w:rsidRPr="001469C8" w:rsidRDefault="00257228" w:rsidP="00EB0FAE">
            <w:pPr>
              <w:jc w:val="both"/>
              <w:rPr>
                <w:sz w:val="17"/>
                <w:szCs w:val="17"/>
                <w:lang w:val="en-GB"/>
              </w:rPr>
            </w:pPr>
            <w:r w:rsidRPr="001469C8">
              <w:rPr>
                <w:sz w:val="17"/>
                <w:szCs w:val="17"/>
                <w:lang w:val="en-GB"/>
              </w:rPr>
              <w:t>Prevention of micro-nut</w:t>
            </w:r>
            <w:r>
              <w:rPr>
                <w:sz w:val="17"/>
                <w:szCs w:val="17"/>
                <w:lang w:val="en-GB"/>
              </w:rPr>
              <w:t>rient</w:t>
            </w:r>
            <w:r w:rsidRPr="001469C8">
              <w:rPr>
                <w:sz w:val="17"/>
                <w:szCs w:val="17"/>
                <w:lang w:val="en-GB"/>
              </w:rPr>
              <w:t xml:space="preserve"> deficiencies</w:t>
            </w:r>
          </w:p>
        </w:tc>
        <w:tc>
          <w:tcPr>
            <w:tcW w:w="2566" w:type="dxa"/>
          </w:tcPr>
          <w:p w14:paraId="4DCA5619" w14:textId="77777777" w:rsidR="00257228" w:rsidRPr="001469C8" w:rsidRDefault="00257228" w:rsidP="00EB0FAE">
            <w:pPr>
              <w:jc w:val="both"/>
              <w:rPr>
                <w:sz w:val="17"/>
                <w:szCs w:val="17"/>
                <w:lang w:val="en-GB"/>
              </w:rPr>
            </w:pPr>
            <w:r w:rsidRPr="001469C8">
              <w:rPr>
                <w:sz w:val="17"/>
                <w:szCs w:val="17"/>
                <w:lang w:val="en-GB"/>
              </w:rPr>
              <w:t>Variety of options, including specialized nutritious foods: Vitamin &amp; mineral powder; LNS-LQ/MQ; fortified blended foods</w:t>
            </w:r>
          </w:p>
        </w:tc>
        <w:tc>
          <w:tcPr>
            <w:tcW w:w="2700" w:type="dxa"/>
          </w:tcPr>
          <w:p w14:paraId="6655CF20" w14:textId="77777777" w:rsidR="00257228" w:rsidRPr="001469C8" w:rsidRDefault="00257228" w:rsidP="00EB0FAE">
            <w:pPr>
              <w:jc w:val="both"/>
              <w:rPr>
                <w:sz w:val="17"/>
                <w:szCs w:val="17"/>
                <w:lang w:val="en-GB"/>
              </w:rPr>
            </w:pPr>
            <w:r w:rsidRPr="001469C8">
              <w:rPr>
                <w:b/>
                <w:sz w:val="17"/>
                <w:szCs w:val="17"/>
                <w:lang w:val="en-GB"/>
              </w:rPr>
              <w:t>Complement</w:t>
            </w:r>
            <w:r w:rsidRPr="001469C8">
              <w:rPr>
                <w:sz w:val="17"/>
                <w:szCs w:val="17"/>
                <w:lang w:val="en-GB"/>
              </w:rPr>
              <w:t xml:space="preserve"> nutrition supplements through general household CVA</w:t>
            </w:r>
          </w:p>
        </w:tc>
        <w:tc>
          <w:tcPr>
            <w:tcW w:w="2970" w:type="dxa"/>
          </w:tcPr>
          <w:p w14:paraId="04F7FADC" w14:textId="77777777" w:rsidR="00257228" w:rsidRPr="00507E68" w:rsidRDefault="00257228" w:rsidP="00257228">
            <w:pPr>
              <w:pStyle w:val="ListParagraph"/>
              <w:numPr>
                <w:ilvl w:val="0"/>
                <w:numId w:val="12"/>
              </w:numPr>
              <w:jc w:val="both"/>
              <w:rPr>
                <w:sz w:val="17"/>
                <w:szCs w:val="17"/>
                <w:lang w:val="en-GB"/>
              </w:rPr>
            </w:pPr>
            <w:r>
              <w:rPr>
                <w:sz w:val="17"/>
                <w:szCs w:val="17"/>
                <w:lang w:val="en-GB"/>
              </w:rPr>
              <w:t xml:space="preserve">to reduce the prevalence of micro-nutrient deficiencies </w:t>
            </w:r>
          </w:p>
        </w:tc>
      </w:tr>
      <w:tr w:rsidR="00257228" w:rsidRPr="001469C8" w14:paraId="7FF52280" w14:textId="77777777" w:rsidTr="00EB0FAE">
        <w:tc>
          <w:tcPr>
            <w:tcW w:w="1749" w:type="dxa"/>
            <w:shd w:val="clear" w:color="auto" w:fill="C5E0B3" w:themeFill="accent6" w:themeFillTint="66"/>
          </w:tcPr>
          <w:p w14:paraId="4346391F" w14:textId="77777777" w:rsidR="00257228" w:rsidRPr="001469C8" w:rsidRDefault="00257228" w:rsidP="00EB0FAE">
            <w:pPr>
              <w:jc w:val="both"/>
              <w:rPr>
                <w:sz w:val="17"/>
                <w:szCs w:val="17"/>
                <w:lang w:val="en-GB"/>
              </w:rPr>
            </w:pPr>
            <w:r w:rsidRPr="001469C8">
              <w:rPr>
                <w:sz w:val="17"/>
                <w:szCs w:val="17"/>
                <w:lang w:val="en-GB"/>
              </w:rPr>
              <w:t>Provision of breast milk substitutes (BMS)</w:t>
            </w:r>
          </w:p>
        </w:tc>
        <w:tc>
          <w:tcPr>
            <w:tcW w:w="2566" w:type="dxa"/>
          </w:tcPr>
          <w:p w14:paraId="780A3AFE" w14:textId="77777777" w:rsidR="00257228" w:rsidRPr="001469C8" w:rsidRDefault="00257228" w:rsidP="00EB0FAE">
            <w:pPr>
              <w:jc w:val="both"/>
              <w:rPr>
                <w:sz w:val="17"/>
                <w:szCs w:val="17"/>
                <w:lang w:val="en-GB"/>
              </w:rPr>
            </w:pPr>
            <w:r w:rsidRPr="001469C8">
              <w:rPr>
                <w:sz w:val="17"/>
                <w:szCs w:val="17"/>
                <w:lang w:val="en-GB"/>
              </w:rPr>
              <w:t>Provision of in-kind BMS</w:t>
            </w:r>
          </w:p>
        </w:tc>
        <w:tc>
          <w:tcPr>
            <w:tcW w:w="2700" w:type="dxa"/>
          </w:tcPr>
          <w:p w14:paraId="3B860F38" w14:textId="77777777" w:rsidR="00257228" w:rsidRPr="001469C8" w:rsidRDefault="00257228" w:rsidP="00EB0FAE">
            <w:pPr>
              <w:jc w:val="both"/>
              <w:rPr>
                <w:bCs/>
                <w:sz w:val="17"/>
                <w:szCs w:val="17"/>
                <w:lang w:val="en-GB"/>
              </w:rPr>
            </w:pPr>
            <w:r>
              <w:rPr>
                <w:b/>
                <w:sz w:val="17"/>
                <w:szCs w:val="17"/>
                <w:lang w:val="en-GB"/>
              </w:rPr>
              <w:t>Replace</w:t>
            </w:r>
            <w:r w:rsidRPr="001469C8">
              <w:rPr>
                <w:sz w:val="17"/>
                <w:szCs w:val="17"/>
                <w:lang w:val="en-GB"/>
              </w:rPr>
              <w:t xml:space="preserve"> </w:t>
            </w:r>
            <w:r w:rsidRPr="001469C8">
              <w:rPr>
                <w:bCs/>
                <w:sz w:val="17"/>
                <w:szCs w:val="17"/>
                <w:lang w:val="en-GB"/>
              </w:rPr>
              <w:t>in-kind BMS vouchers to access BMS</w:t>
            </w:r>
          </w:p>
        </w:tc>
        <w:tc>
          <w:tcPr>
            <w:tcW w:w="2970" w:type="dxa"/>
          </w:tcPr>
          <w:p w14:paraId="2102B562" w14:textId="77777777" w:rsidR="00257228" w:rsidRPr="001469C8" w:rsidRDefault="00257228" w:rsidP="00257228">
            <w:pPr>
              <w:pStyle w:val="ListParagraph"/>
              <w:numPr>
                <w:ilvl w:val="0"/>
                <w:numId w:val="12"/>
              </w:numPr>
              <w:jc w:val="both"/>
              <w:rPr>
                <w:sz w:val="17"/>
                <w:szCs w:val="17"/>
                <w:lang w:val="en-GB"/>
              </w:rPr>
            </w:pPr>
            <w:r w:rsidRPr="001469C8">
              <w:rPr>
                <w:sz w:val="17"/>
                <w:szCs w:val="17"/>
                <w:lang w:val="en-GB"/>
              </w:rPr>
              <w:t>Provide BMS to infants that cannot be breastfed</w:t>
            </w:r>
          </w:p>
        </w:tc>
      </w:tr>
      <w:tr w:rsidR="00257228" w:rsidRPr="001469C8" w14:paraId="19DCCB9D" w14:textId="77777777" w:rsidTr="00EB0FAE">
        <w:tc>
          <w:tcPr>
            <w:tcW w:w="1749" w:type="dxa"/>
            <w:tcBorders>
              <w:bottom w:val="single" w:sz="4" w:space="0" w:color="000000" w:themeColor="text1"/>
            </w:tcBorders>
            <w:shd w:val="clear" w:color="auto" w:fill="C5E0B3" w:themeFill="accent6" w:themeFillTint="66"/>
          </w:tcPr>
          <w:p w14:paraId="7A3987A6" w14:textId="77777777" w:rsidR="00257228" w:rsidRPr="001469C8" w:rsidRDefault="00257228" w:rsidP="00EB0FAE">
            <w:pPr>
              <w:jc w:val="both"/>
              <w:rPr>
                <w:sz w:val="17"/>
                <w:szCs w:val="17"/>
                <w:lang w:val="en-GB"/>
              </w:rPr>
            </w:pPr>
            <w:r>
              <w:rPr>
                <w:sz w:val="17"/>
                <w:szCs w:val="17"/>
                <w:lang w:val="en-GB"/>
              </w:rPr>
              <w:t>Provision of p</w:t>
            </w:r>
            <w:r w:rsidRPr="001469C8">
              <w:rPr>
                <w:sz w:val="17"/>
                <w:szCs w:val="17"/>
                <w:lang w:val="en-GB"/>
              </w:rPr>
              <w:t>riority health services</w:t>
            </w:r>
          </w:p>
        </w:tc>
        <w:tc>
          <w:tcPr>
            <w:tcW w:w="2566" w:type="dxa"/>
            <w:tcBorders>
              <w:bottom w:val="single" w:sz="4" w:space="0" w:color="000000" w:themeColor="text1"/>
            </w:tcBorders>
          </w:tcPr>
          <w:p w14:paraId="0C15F4F4" w14:textId="77777777" w:rsidR="00257228" w:rsidRPr="001469C8" w:rsidRDefault="00257228" w:rsidP="00EB0FAE">
            <w:pPr>
              <w:jc w:val="both"/>
              <w:rPr>
                <w:sz w:val="17"/>
                <w:szCs w:val="17"/>
                <w:lang w:val="en-GB"/>
              </w:rPr>
            </w:pPr>
            <w:r w:rsidRPr="001469C8">
              <w:rPr>
                <w:sz w:val="17"/>
                <w:szCs w:val="17"/>
                <w:lang w:val="en-GB"/>
              </w:rPr>
              <w:t>Health service provision: vaccination, deworming, pre- post-natal care, growth monitoring</w:t>
            </w:r>
          </w:p>
          <w:p w14:paraId="4162DBAE" w14:textId="77777777" w:rsidR="00257228" w:rsidRPr="001469C8" w:rsidRDefault="00257228" w:rsidP="00EB0FAE">
            <w:pPr>
              <w:jc w:val="both"/>
              <w:rPr>
                <w:sz w:val="17"/>
                <w:szCs w:val="17"/>
                <w:lang w:val="en-GB"/>
              </w:rPr>
            </w:pPr>
          </w:p>
          <w:p w14:paraId="08926E0B" w14:textId="77777777" w:rsidR="00257228" w:rsidRPr="001469C8" w:rsidRDefault="00257228" w:rsidP="00EB0FAE">
            <w:pPr>
              <w:jc w:val="both"/>
              <w:rPr>
                <w:sz w:val="17"/>
                <w:szCs w:val="17"/>
                <w:lang w:val="en-GB"/>
              </w:rPr>
            </w:pPr>
          </w:p>
        </w:tc>
        <w:tc>
          <w:tcPr>
            <w:tcW w:w="2700" w:type="dxa"/>
            <w:tcBorders>
              <w:bottom w:val="single" w:sz="4" w:space="0" w:color="000000" w:themeColor="text1"/>
            </w:tcBorders>
          </w:tcPr>
          <w:p w14:paraId="74944893" w14:textId="77777777" w:rsidR="00257228" w:rsidRPr="001469C8" w:rsidRDefault="00257228" w:rsidP="00EB0FAE">
            <w:pPr>
              <w:jc w:val="both"/>
              <w:rPr>
                <w:sz w:val="17"/>
                <w:szCs w:val="17"/>
                <w:lang w:val="en-GB"/>
              </w:rPr>
            </w:pPr>
            <w:r w:rsidRPr="001469C8">
              <w:rPr>
                <w:sz w:val="17"/>
                <w:szCs w:val="17"/>
                <w:lang w:val="en-GB"/>
              </w:rPr>
              <w:t xml:space="preserve">CVA can be </w:t>
            </w:r>
            <w:r w:rsidRPr="001469C8">
              <w:rPr>
                <w:b/>
                <w:bCs/>
                <w:sz w:val="17"/>
                <w:szCs w:val="17"/>
                <w:lang w:val="en-GB"/>
              </w:rPr>
              <w:t>conditional</w:t>
            </w:r>
            <w:r w:rsidRPr="001469C8">
              <w:rPr>
                <w:sz w:val="17"/>
                <w:szCs w:val="17"/>
                <w:lang w:val="en-GB"/>
              </w:rPr>
              <w:t xml:space="preserve"> on attendance to priority health services </w:t>
            </w:r>
          </w:p>
          <w:p w14:paraId="77B13286" w14:textId="77777777" w:rsidR="00257228" w:rsidRPr="001469C8" w:rsidRDefault="00257228" w:rsidP="00EB0FAE">
            <w:pPr>
              <w:jc w:val="both"/>
              <w:rPr>
                <w:sz w:val="17"/>
                <w:szCs w:val="17"/>
                <w:lang w:val="en-GB"/>
              </w:rPr>
            </w:pPr>
            <w:r w:rsidRPr="001469C8">
              <w:rPr>
                <w:b/>
                <w:bCs/>
                <w:sz w:val="17"/>
                <w:szCs w:val="17"/>
                <w:lang w:val="en-GB"/>
              </w:rPr>
              <w:t>Complement</w:t>
            </w:r>
            <w:r w:rsidRPr="001469C8">
              <w:rPr>
                <w:sz w:val="17"/>
                <w:szCs w:val="17"/>
                <w:lang w:val="en-GB"/>
              </w:rPr>
              <w:t>: CVA to cover costs associated with accessing health service</w:t>
            </w:r>
          </w:p>
        </w:tc>
        <w:tc>
          <w:tcPr>
            <w:tcW w:w="2970" w:type="dxa"/>
            <w:tcBorders>
              <w:bottom w:val="single" w:sz="4" w:space="0" w:color="000000" w:themeColor="text1"/>
            </w:tcBorders>
          </w:tcPr>
          <w:p w14:paraId="63EC3A16" w14:textId="77777777" w:rsidR="00257228" w:rsidRPr="001469C8" w:rsidRDefault="00257228" w:rsidP="00257228">
            <w:pPr>
              <w:pStyle w:val="ListParagraph"/>
              <w:numPr>
                <w:ilvl w:val="0"/>
                <w:numId w:val="14"/>
              </w:numPr>
              <w:jc w:val="both"/>
              <w:rPr>
                <w:sz w:val="17"/>
                <w:szCs w:val="17"/>
                <w:lang w:val="en-GB"/>
              </w:rPr>
            </w:pPr>
            <w:r w:rsidRPr="001469C8">
              <w:rPr>
                <w:sz w:val="17"/>
                <w:szCs w:val="17"/>
                <w:lang w:val="en-GB"/>
              </w:rPr>
              <w:t>Promote attendance to priority health services</w:t>
            </w:r>
          </w:p>
          <w:p w14:paraId="787D3E1F" w14:textId="77777777" w:rsidR="00257228" w:rsidRPr="001469C8" w:rsidRDefault="00257228" w:rsidP="00257228">
            <w:pPr>
              <w:pStyle w:val="ListParagraph"/>
              <w:numPr>
                <w:ilvl w:val="0"/>
                <w:numId w:val="14"/>
              </w:numPr>
              <w:jc w:val="both"/>
              <w:rPr>
                <w:sz w:val="17"/>
                <w:szCs w:val="17"/>
                <w:lang w:val="en-GB"/>
              </w:rPr>
            </w:pPr>
            <w:r w:rsidRPr="001469C8">
              <w:rPr>
                <w:sz w:val="17"/>
                <w:szCs w:val="17"/>
                <w:lang w:val="en-GB"/>
              </w:rPr>
              <w:t>Cover transportation costs</w:t>
            </w:r>
          </w:p>
          <w:p w14:paraId="77C52D2F" w14:textId="77777777" w:rsidR="00257228" w:rsidRPr="001469C8" w:rsidRDefault="00257228" w:rsidP="00257228">
            <w:pPr>
              <w:pStyle w:val="ListParagraph"/>
              <w:numPr>
                <w:ilvl w:val="0"/>
                <w:numId w:val="14"/>
              </w:numPr>
              <w:jc w:val="both"/>
              <w:rPr>
                <w:sz w:val="17"/>
                <w:szCs w:val="17"/>
                <w:lang w:val="en-GB"/>
              </w:rPr>
            </w:pPr>
            <w:r w:rsidRPr="001469C8">
              <w:rPr>
                <w:sz w:val="17"/>
                <w:szCs w:val="17"/>
                <w:lang w:val="en-GB"/>
              </w:rPr>
              <w:t xml:space="preserve">Cover out-of-pocket </w:t>
            </w:r>
            <w:r>
              <w:rPr>
                <w:sz w:val="17"/>
                <w:szCs w:val="17"/>
                <w:lang w:val="en-GB"/>
              </w:rPr>
              <w:t>expenditure</w:t>
            </w:r>
          </w:p>
          <w:p w14:paraId="62636313" w14:textId="77777777" w:rsidR="00257228" w:rsidRPr="001469C8" w:rsidRDefault="00257228" w:rsidP="00257228">
            <w:pPr>
              <w:pStyle w:val="ListParagraph"/>
              <w:numPr>
                <w:ilvl w:val="0"/>
                <w:numId w:val="14"/>
              </w:numPr>
              <w:jc w:val="both"/>
              <w:rPr>
                <w:sz w:val="17"/>
                <w:szCs w:val="17"/>
                <w:lang w:val="en-GB"/>
              </w:rPr>
            </w:pPr>
            <w:r w:rsidRPr="001469C8">
              <w:rPr>
                <w:sz w:val="17"/>
                <w:szCs w:val="17"/>
                <w:lang w:val="en-GB"/>
              </w:rPr>
              <w:t>Reduce opportunity costs</w:t>
            </w:r>
          </w:p>
        </w:tc>
      </w:tr>
      <w:tr w:rsidR="00257228" w:rsidRPr="001469C8" w14:paraId="1C7C0FA3" w14:textId="77777777" w:rsidTr="00EB0FAE">
        <w:tc>
          <w:tcPr>
            <w:tcW w:w="9985" w:type="dxa"/>
            <w:gridSpan w:val="4"/>
            <w:tcBorders>
              <w:bottom w:val="single" w:sz="4" w:space="0" w:color="auto"/>
            </w:tcBorders>
            <w:shd w:val="clear" w:color="auto" w:fill="F7CAAC" w:themeFill="accent2" w:themeFillTint="66"/>
          </w:tcPr>
          <w:p w14:paraId="467BF53D" w14:textId="77777777" w:rsidR="00257228" w:rsidRPr="00E85CD3" w:rsidRDefault="00257228" w:rsidP="00EB0FAE">
            <w:pPr>
              <w:jc w:val="center"/>
              <w:rPr>
                <w:sz w:val="17"/>
                <w:szCs w:val="17"/>
                <w:lang w:val="en-GB"/>
              </w:rPr>
            </w:pPr>
            <w:r>
              <w:rPr>
                <w:b/>
                <w:i/>
                <w:iCs/>
                <w:sz w:val="17"/>
                <w:szCs w:val="17"/>
                <w:lang w:val="en-GB"/>
              </w:rPr>
              <w:t>Nutrition-specific r</w:t>
            </w:r>
            <w:r w:rsidRPr="00E85CD3">
              <w:rPr>
                <w:b/>
                <w:i/>
                <w:iCs/>
                <w:sz w:val="17"/>
                <w:szCs w:val="17"/>
                <w:lang w:val="en-GB"/>
              </w:rPr>
              <w:t xml:space="preserve">esponse options aimed at </w:t>
            </w:r>
            <w:r>
              <w:rPr>
                <w:b/>
                <w:i/>
                <w:iCs/>
                <w:sz w:val="17"/>
                <w:szCs w:val="17"/>
                <w:lang w:val="en-GB"/>
              </w:rPr>
              <w:t>treating malnutrition</w:t>
            </w:r>
          </w:p>
        </w:tc>
      </w:tr>
      <w:tr w:rsidR="00257228" w:rsidRPr="001469C8" w14:paraId="5BE29A04" w14:textId="77777777" w:rsidTr="00EB0FAE">
        <w:tc>
          <w:tcPr>
            <w:tcW w:w="1749" w:type="dxa"/>
            <w:shd w:val="clear" w:color="auto" w:fill="F7CAAC" w:themeFill="accent2" w:themeFillTint="66"/>
          </w:tcPr>
          <w:p w14:paraId="5E7097F6" w14:textId="252BAE67" w:rsidR="00257228" w:rsidRPr="001469C8" w:rsidRDefault="00257228" w:rsidP="00EB0FAE">
            <w:pPr>
              <w:jc w:val="both"/>
              <w:rPr>
                <w:sz w:val="17"/>
                <w:szCs w:val="17"/>
                <w:lang w:val="en-GB"/>
              </w:rPr>
            </w:pPr>
            <w:r w:rsidRPr="001469C8">
              <w:rPr>
                <w:sz w:val="17"/>
                <w:szCs w:val="17"/>
                <w:lang w:val="en-GB"/>
              </w:rPr>
              <w:t xml:space="preserve">Targeted supplementary feeding </w:t>
            </w:r>
            <w:r>
              <w:rPr>
                <w:sz w:val="18"/>
                <w:szCs w:val="18"/>
                <w:lang w:val="en-GB"/>
              </w:rPr>
              <w:t>(for treatment of MAM)</w:t>
            </w:r>
          </w:p>
        </w:tc>
        <w:tc>
          <w:tcPr>
            <w:tcW w:w="2566" w:type="dxa"/>
          </w:tcPr>
          <w:p w14:paraId="2082979A" w14:textId="77777777" w:rsidR="00257228" w:rsidRPr="001469C8" w:rsidRDefault="00257228" w:rsidP="00257228">
            <w:pPr>
              <w:pStyle w:val="ListParagraph"/>
              <w:numPr>
                <w:ilvl w:val="0"/>
                <w:numId w:val="15"/>
              </w:numPr>
              <w:jc w:val="both"/>
              <w:rPr>
                <w:sz w:val="17"/>
                <w:szCs w:val="17"/>
                <w:lang w:val="en-GB"/>
              </w:rPr>
            </w:pPr>
            <w:r w:rsidRPr="001469C8">
              <w:rPr>
                <w:sz w:val="17"/>
                <w:szCs w:val="17"/>
                <w:lang w:val="en-GB"/>
              </w:rPr>
              <w:t>Health service provision (routine treatment)</w:t>
            </w:r>
          </w:p>
          <w:p w14:paraId="4CFEC39D" w14:textId="77777777" w:rsidR="00257228" w:rsidRPr="001469C8" w:rsidRDefault="00257228" w:rsidP="00257228">
            <w:pPr>
              <w:pStyle w:val="ListParagraph"/>
              <w:numPr>
                <w:ilvl w:val="0"/>
                <w:numId w:val="14"/>
              </w:numPr>
              <w:jc w:val="both"/>
              <w:rPr>
                <w:sz w:val="17"/>
                <w:szCs w:val="17"/>
                <w:lang w:val="en-GB"/>
              </w:rPr>
            </w:pPr>
            <w:r w:rsidRPr="001469C8">
              <w:rPr>
                <w:sz w:val="17"/>
                <w:szCs w:val="17"/>
                <w:lang w:val="en-GB"/>
              </w:rPr>
              <w:t>Specialized nutritious foods: fortified blended foods; RUSF</w:t>
            </w:r>
          </w:p>
        </w:tc>
        <w:tc>
          <w:tcPr>
            <w:tcW w:w="2700" w:type="dxa"/>
            <w:vMerge w:val="restart"/>
          </w:tcPr>
          <w:p w14:paraId="64A3419D" w14:textId="77777777" w:rsidR="00257228" w:rsidRPr="001469C8" w:rsidRDefault="00257228" w:rsidP="00EB0FAE">
            <w:pPr>
              <w:jc w:val="both"/>
              <w:rPr>
                <w:sz w:val="17"/>
                <w:szCs w:val="17"/>
                <w:lang w:val="en-GB"/>
              </w:rPr>
            </w:pPr>
            <w:r w:rsidRPr="001469C8">
              <w:rPr>
                <w:b/>
                <w:sz w:val="17"/>
                <w:szCs w:val="17"/>
                <w:lang w:val="en-GB"/>
              </w:rPr>
              <w:t>Complement</w:t>
            </w:r>
            <w:r w:rsidRPr="001469C8">
              <w:rPr>
                <w:sz w:val="17"/>
                <w:szCs w:val="17"/>
                <w:lang w:val="en-GB"/>
              </w:rPr>
              <w:t xml:space="preserve">: </w:t>
            </w:r>
          </w:p>
          <w:p w14:paraId="66190D3C" w14:textId="77777777" w:rsidR="00257228" w:rsidRPr="001469C8" w:rsidRDefault="00257228" w:rsidP="00257228">
            <w:pPr>
              <w:pStyle w:val="ListParagraph"/>
              <w:numPr>
                <w:ilvl w:val="0"/>
                <w:numId w:val="14"/>
              </w:numPr>
              <w:jc w:val="both"/>
              <w:rPr>
                <w:sz w:val="17"/>
                <w:szCs w:val="17"/>
                <w:lang w:val="en-GB"/>
              </w:rPr>
            </w:pPr>
            <w:r w:rsidRPr="001469C8">
              <w:rPr>
                <w:sz w:val="17"/>
                <w:szCs w:val="17"/>
                <w:lang w:val="en-GB"/>
              </w:rPr>
              <w:t>CVA to cover costs associated with accessing health service</w:t>
            </w:r>
          </w:p>
          <w:p w14:paraId="6A1D9188" w14:textId="77777777" w:rsidR="00257228" w:rsidRPr="001469C8" w:rsidRDefault="00257228" w:rsidP="00257228">
            <w:pPr>
              <w:pStyle w:val="ListParagraph"/>
              <w:numPr>
                <w:ilvl w:val="0"/>
                <w:numId w:val="14"/>
              </w:numPr>
              <w:jc w:val="both"/>
              <w:rPr>
                <w:sz w:val="17"/>
                <w:szCs w:val="17"/>
                <w:lang w:val="en-GB"/>
              </w:rPr>
            </w:pPr>
            <w:r w:rsidRPr="001469C8">
              <w:rPr>
                <w:sz w:val="17"/>
                <w:szCs w:val="17"/>
                <w:lang w:val="en-GB"/>
              </w:rPr>
              <w:t>General household CVA</w:t>
            </w:r>
          </w:p>
        </w:tc>
        <w:tc>
          <w:tcPr>
            <w:tcW w:w="2970" w:type="dxa"/>
            <w:vMerge w:val="restart"/>
          </w:tcPr>
          <w:p w14:paraId="0B650D57" w14:textId="77777777" w:rsidR="00257228" w:rsidRPr="001469C8" w:rsidRDefault="00257228" w:rsidP="00257228">
            <w:pPr>
              <w:pStyle w:val="ListParagraph"/>
              <w:numPr>
                <w:ilvl w:val="0"/>
                <w:numId w:val="14"/>
              </w:numPr>
              <w:jc w:val="both"/>
              <w:rPr>
                <w:sz w:val="17"/>
                <w:szCs w:val="17"/>
                <w:lang w:val="en-GB"/>
              </w:rPr>
            </w:pPr>
            <w:r w:rsidRPr="001469C8">
              <w:rPr>
                <w:sz w:val="17"/>
                <w:szCs w:val="17"/>
                <w:lang w:val="en-GB"/>
              </w:rPr>
              <w:t>Improve access to health services</w:t>
            </w:r>
          </w:p>
          <w:p w14:paraId="3EBD6A8B" w14:textId="77777777" w:rsidR="00257228" w:rsidRPr="001469C8" w:rsidRDefault="00257228" w:rsidP="00257228">
            <w:pPr>
              <w:pStyle w:val="ListParagraph"/>
              <w:numPr>
                <w:ilvl w:val="0"/>
                <w:numId w:val="14"/>
              </w:numPr>
              <w:jc w:val="both"/>
              <w:rPr>
                <w:sz w:val="17"/>
                <w:szCs w:val="17"/>
                <w:lang w:val="en-GB"/>
              </w:rPr>
            </w:pPr>
            <w:r w:rsidRPr="001469C8">
              <w:rPr>
                <w:sz w:val="17"/>
                <w:szCs w:val="17"/>
                <w:lang w:val="en-GB"/>
              </w:rPr>
              <w:t>Cover transportation costs</w:t>
            </w:r>
          </w:p>
          <w:p w14:paraId="03AD2939" w14:textId="77777777" w:rsidR="00257228" w:rsidRPr="001469C8" w:rsidRDefault="00257228" w:rsidP="00257228">
            <w:pPr>
              <w:pStyle w:val="ListParagraph"/>
              <w:numPr>
                <w:ilvl w:val="0"/>
                <w:numId w:val="14"/>
              </w:numPr>
              <w:jc w:val="both"/>
              <w:rPr>
                <w:sz w:val="17"/>
                <w:szCs w:val="17"/>
                <w:lang w:val="en-GB"/>
              </w:rPr>
            </w:pPr>
            <w:r w:rsidRPr="001469C8">
              <w:rPr>
                <w:sz w:val="17"/>
                <w:szCs w:val="17"/>
                <w:lang w:val="en-GB"/>
              </w:rPr>
              <w:t xml:space="preserve">Cover out-of-pocket </w:t>
            </w:r>
            <w:r>
              <w:rPr>
                <w:sz w:val="17"/>
                <w:szCs w:val="17"/>
                <w:lang w:val="en-GB"/>
              </w:rPr>
              <w:t>expenditure</w:t>
            </w:r>
          </w:p>
          <w:p w14:paraId="25131134" w14:textId="77777777" w:rsidR="00257228" w:rsidRDefault="00257228" w:rsidP="00257228">
            <w:pPr>
              <w:pStyle w:val="ListParagraph"/>
              <w:numPr>
                <w:ilvl w:val="0"/>
                <w:numId w:val="14"/>
              </w:numPr>
              <w:jc w:val="both"/>
              <w:rPr>
                <w:sz w:val="17"/>
                <w:szCs w:val="17"/>
                <w:lang w:val="en-GB"/>
              </w:rPr>
            </w:pPr>
            <w:r w:rsidRPr="001469C8">
              <w:rPr>
                <w:sz w:val="17"/>
                <w:szCs w:val="17"/>
                <w:lang w:val="en-GB"/>
              </w:rPr>
              <w:t xml:space="preserve">Reduce opportunity costs </w:t>
            </w:r>
          </w:p>
          <w:p w14:paraId="6787B2C8" w14:textId="77777777" w:rsidR="00257228" w:rsidRPr="001469C8" w:rsidRDefault="00257228" w:rsidP="00257228">
            <w:pPr>
              <w:pStyle w:val="ListParagraph"/>
              <w:numPr>
                <w:ilvl w:val="0"/>
                <w:numId w:val="14"/>
              </w:numPr>
              <w:jc w:val="both"/>
              <w:rPr>
                <w:sz w:val="17"/>
                <w:szCs w:val="17"/>
                <w:lang w:val="en-GB"/>
              </w:rPr>
            </w:pPr>
            <w:r w:rsidRPr="001469C8">
              <w:rPr>
                <w:sz w:val="17"/>
                <w:szCs w:val="17"/>
                <w:lang w:val="en-GB"/>
              </w:rPr>
              <w:t>In-patient care: cover food and accommodation costs of caregivers</w:t>
            </w:r>
          </w:p>
        </w:tc>
      </w:tr>
      <w:tr w:rsidR="00257228" w:rsidRPr="001469C8" w14:paraId="7A031D80" w14:textId="77777777" w:rsidTr="00EB0FAE">
        <w:tc>
          <w:tcPr>
            <w:tcW w:w="1749" w:type="dxa"/>
            <w:shd w:val="clear" w:color="auto" w:fill="F7CAAC" w:themeFill="accent2" w:themeFillTint="66"/>
          </w:tcPr>
          <w:p w14:paraId="1F3B72DB" w14:textId="6356FEE6" w:rsidR="00257228" w:rsidRPr="001469C8" w:rsidRDefault="00257228" w:rsidP="00EB0FAE">
            <w:pPr>
              <w:jc w:val="both"/>
              <w:rPr>
                <w:sz w:val="17"/>
                <w:szCs w:val="17"/>
                <w:lang w:val="en-GB"/>
              </w:rPr>
            </w:pPr>
            <w:r w:rsidRPr="001469C8">
              <w:rPr>
                <w:sz w:val="17"/>
                <w:szCs w:val="17"/>
                <w:lang w:val="en-GB"/>
              </w:rPr>
              <w:t>Therapeutic care</w:t>
            </w:r>
            <w:r>
              <w:rPr>
                <w:sz w:val="17"/>
                <w:szCs w:val="17"/>
                <w:lang w:val="en-GB"/>
              </w:rPr>
              <w:t xml:space="preserve"> </w:t>
            </w:r>
            <w:r>
              <w:rPr>
                <w:sz w:val="18"/>
                <w:szCs w:val="18"/>
                <w:lang w:val="en-GB"/>
              </w:rPr>
              <w:t xml:space="preserve">(for treatment of </w:t>
            </w:r>
            <w:r w:rsidR="00CA377F">
              <w:rPr>
                <w:sz w:val="18"/>
                <w:szCs w:val="18"/>
                <w:lang w:val="en-GB"/>
              </w:rPr>
              <w:t>severe acute malnutrition, SAM</w:t>
            </w:r>
            <w:r>
              <w:rPr>
                <w:sz w:val="18"/>
                <w:szCs w:val="18"/>
                <w:lang w:val="en-GB"/>
              </w:rPr>
              <w:t>)</w:t>
            </w:r>
          </w:p>
        </w:tc>
        <w:tc>
          <w:tcPr>
            <w:tcW w:w="2566" w:type="dxa"/>
          </w:tcPr>
          <w:p w14:paraId="46B20883" w14:textId="77777777" w:rsidR="00257228" w:rsidRPr="001469C8" w:rsidRDefault="00257228" w:rsidP="00257228">
            <w:pPr>
              <w:pStyle w:val="ListParagraph"/>
              <w:numPr>
                <w:ilvl w:val="0"/>
                <w:numId w:val="16"/>
              </w:numPr>
              <w:jc w:val="both"/>
              <w:rPr>
                <w:sz w:val="17"/>
                <w:szCs w:val="17"/>
                <w:lang w:val="en-GB"/>
              </w:rPr>
            </w:pPr>
            <w:r w:rsidRPr="001469C8">
              <w:rPr>
                <w:sz w:val="17"/>
                <w:szCs w:val="17"/>
                <w:lang w:val="en-GB"/>
              </w:rPr>
              <w:t xml:space="preserve">Health service provision </w:t>
            </w:r>
          </w:p>
          <w:p w14:paraId="36FD51F9" w14:textId="77777777" w:rsidR="00257228" w:rsidRPr="001469C8" w:rsidRDefault="00257228" w:rsidP="00257228">
            <w:pPr>
              <w:pStyle w:val="ListParagraph"/>
              <w:numPr>
                <w:ilvl w:val="0"/>
                <w:numId w:val="16"/>
              </w:numPr>
              <w:jc w:val="both"/>
              <w:rPr>
                <w:sz w:val="17"/>
                <w:szCs w:val="17"/>
                <w:lang w:val="en-GB"/>
              </w:rPr>
            </w:pPr>
            <w:r w:rsidRPr="001469C8">
              <w:rPr>
                <w:sz w:val="17"/>
                <w:szCs w:val="17"/>
                <w:lang w:val="en-GB"/>
              </w:rPr>
              <w:t>Specialized nutritious foods: RUTF</w:t>
            </w:r>
          </w:p>
        </w:tc>
        <w:tc>
          <w:tcPr>
            <w:tcW w:w="2700" w:type="dxa"/>
            <w:vMerge/>
          </w:tcPr>
          <w:p w14:paraId="2F3E82C4" w14:textId="77777777" w:rsidR="00257228" w:rsidRPr="001469C8" w:rsidRDefault="00257228" w:rsidP="00257228">
            <w:pPr>
              <w:pStyle w:val="ListParagraph"/>
              <w:numPr>
                <w:ilvl w:val="0"/>
                <w:numId w:val="25"/>
              </w:numPr>
              <w:jc w:val="both"/>
              <w:rPr>
                <w:bCs/>
                <w:sz w:val="17"/>
                <w:szCs w:val="17"/>
                <w:lang w:val="en-GB"/>
              </w:rPr>
            </w:pPr>
          </w:p>
        </w:tc>
        <w:tc>
          <w:tcPr>
            <w:tcW w:w="2970" w:type="dxa"/>
            <w:vMerge/>
          </w:tcPr>
          <w:p w14:paraId="0C2B73B8" w14:textId="77777777" w:rsidR="00257228" w:rsidRPr="001469C8" w:rsidRDefault="00257228" w:rsidP="00257228">
            <w:pPr>
              <w:pStyle w:val="ListParagraph"/>
              <w:numPr>
                <w:ilvl w:val="0"/>
                <w:numId w:val="13"/>
              </w:numPr>
              <w:jc w:val="both"/>
              <w:rPr>
                <w:sz w:val="17"/>
                <w:szCs w:val="17"/>
                <w:lang w:val="en-GB"/>
              </w:rPr>
            </w:pPr>
          </w:p>
        </w:tc>
      </w:tr>
      <w:tr w:rsidR="00257228" w:rsidRPr="001469C8" w14:paraId="17DC994A" w14:textId="77777777" w:rsidTr="00EB0FAE">
        <w:tc>
          <w:tcPr>
            <w:tcW w:w="1749" w:type="dxa"/>
            <w:shd w:val="clear" w:color="auto" w:fill="F7CAAC" w:themeFill="accent2" w:themeFillTint="66"/>
          </w:tcPr>
          <w:p w14:paraId="648FB886" w14:textId="17CE7EF6" w:rsidR="00257228" w:rsidRPr="001469C8" w:rsidRDefault="00257228" w:rsidP="00EB0FAE">
            <w:pPr>
              <w:jc w:val="both"/>
              <w:rPr>
                <w:sz w:val="17"/>
                <w:szCs w:val="17"/>
                <w:lang w:val="en-GB"/>
              </w:rPr>
            </w:pPr>
            <w:r w:rsidRPr="001469C8">
              <w:rPr>
                <w:sz w:val="17"/>
                <w:szCs w:val="17"/>
                <w:lang w:val="en-GB"/>
              </w:rPr>
              <w:t>Treatment of micro-nutrient deficiency disease</w:t>
            </w:r>
          </w:p>
        </w:tc>
        <w:tc>
          <w:tcPr>
            <w:tcW w:w="2566" w:type="dxa"/>
          </w:tcPr>
          <w:p w14:paraId="78A6E4C9" w14:textId="77777777" w:rsidR="00257228" w:rsidRPr="001469C8" w:rsidRDefault="00257228" w:rsidP="00257228">
            <w:pPr>
              <w:pStyle w:val="ListParagraph"/>
              <w:numPr>
                <w:ilvl w:val="0"/>
                <w:numId w:val="17"/>
              </w:numPr>
              <w:jc w:val="both"/>
              <w:rPr>
                <w:sz w:val="17"/>
                <w:szCs w:val="17"/>
                <w:lang w:val="en-GB"/>
              </w:rPr>
            </w:pPr>
            <w:r w:rsidRPr="001469C8">
              <w:rPr>
                <w:sz w:val="17"/>
                <w:szCs w:val="17"/>
                <w:lang w:val="en-GB"/>
              </w:rPr>
              <w:t xml:space="preserve">Health service provision </w:t>
            </w:r>
          </w:p>
          <w:p w14:paraId="35A3F9BE" w14:textId="77777777" w:rsidR="00257228" w:rsidRPr="001469C8" w:rsidRDefault="00257228" w:rsidP="00257228">
            <w:pPr>
              <w:pStyle w:val="ListParagraph"/>
              <w:numPr>
                <w:ilvl w:val="0"/>
                <w:numId w:val="17"/>
              </w:numPr>
              <w:jc w:val="both"/>
              <w:rPr>
                <w:sz w:val="17"/>
                <w:szCs w:val="17"/>
                <w:lang w:val="en-GB"/>
              </w:rPr>
            </w:pPr>
            <w:r>
              <w:rPr>
                <w:sz w:val="17"/>
                <w:szCs w:val="17"/>
                <w:lang w:val="en-GB"/>
              </w:rPr>
              <w:t>Oral supplement tablet or capsule</w:t>
            </w:r>
            <w:r w:rsidRPr="001469C8">
              <w:rPr>
                <w:sz w:val="17"/>
                <w:szCs w:val="17"/>
                <w:lang w:val="en-GB"/>
              </w:rPr>
              <w:t xml:space="preserve"> </w:t>
            </w:r>
          </w:p>
        </w:tc>
        <w:tc>
          <w:tcPr>
            <w:tcW w:w="2700" w:type="dxa"/>
            <w:vMerge/>
          </w:tcPr>
          <w:p w14:paraId="6EB0B846" w14:textId="77777777" w:rsidR="00257228" w:rsidRPr="001469C8" w:rsidRDefault="00257228" w:rsidP="00257228">
            <w:pPr>
              <w:pStyle w:val="ListParagraph"/>
              <w:numPr>
                <w:ilvl w:val="0"/>
                <w:numId w:val="25"/>
              </w:numPr>
              <w:jc w:val="both"/>
              <w:rPr>
                <w:sz w:val="17"/>
                <w:szCs w:val="17"/>
                <w:lang w:val="en-GB"/>
              </w:rPr>
            </w:pPr>
          </w:p>
        </w:tc>
        <w:tc>
          <w:tcPr>
            <w:tcW w:w="2970" w:type="dxa"/>
            <w:vMerge/>
          </w:tcPr>
          <w:p w14:paraId="0C9A55DC" w14:textId="77777777" w:rsidR="00257228" w:rsidRPr="001469C8" w:rsidRDefault="00257228" w:rsidP="00257228">
            <w:pPr>
              <w:pStyle w:val="ListParagraph"/>
              <w:numPr>
                <w:ilvl w:val="0"/>
                <w:numId w:val="14"/>
              </w:numPr>
              <w:jc w:val="both"/>
              <w:rPr>
                <w:sz w:val="17"/>
                <w:szCs w:val="17"/>
                <w:lang w:val="en-GB"/>
              </w:rPr>
            </w:pPr>
          </w:p>
        </w:tc>
      </w:tr>
    </w:tbl>
    <w:p w14:paraId="76B47A1D" w14:textId="381FE660" w:rsidR="00B2471A" w:rsidRPr="00BA41E1" w:rsidRDefault="00FC3FFB" w:rsidP="00566ABA">
      <w:pPr>
        <w:jc w:val="both"/>
        <w:rPr>
          <w:lang w:val="en-GB"/>
        </w:rPr>
      </w:pPr>
      <w:r w:rsidRPr="00BA41E1">
        <w:rPr>
          <w:lang w:val="en-GB"/>
        </w:rPr>
        <w:t xml:space="preserve">Table </w:t>
      </w:r>
      <w:r w:rsidR="008556A0">
        <w:rPr>
          <w:lang w:val="en-GB"/>
        </w:rPr>
        <w:t>2</w:t>
      </w:r>
      <w:r w:rsidRPr="00BA41E1">
        <w:rPr>
          <w:lang w:val="en-GB"/>
        </w:rPr>
        <w:t xml:space="preserve">. </w:t>
      </w:r>
      <w:r w:rsidR="00077130" w:rsidRPr="00BA41E1">
        <w:rPr>
          <w:lang w:val="en-GB"/>
        </w:rPr>
        <w:t>The role of CVA in different nutrition response options</w:t>
      </w:r>
      <w:r w:rsidR="007F0C70">
        <w:rPr>
          <w:rStyle w:val="FootnoteReference"/>
          <w:lang w:val="en-GB"/>
        </w:rPr>
        <w:footnoteReference w:id="5"/>
      </w:r>
    </w:p>
    <w:p w14:paraId="29E5B6D4" w14:textId="7A0ED947" w:rsidR="00257228" w:rsidRDefault="00257228" w:rsidP="00257228">
      <w:pPr>
        <w:jc w:val="both"/>
        <w:rPr>
          <w:lang w:val="en-GB"/>
        </w:rPr>
      </w:pPr>
      <w:r w:rsidRPr="00E61846">
        <w:rPr>
          <w:lang w:val="en-GB"/>
        </w:rPr>
        <w:t xml:space="preserve">In principle, CVA can replace the traditional response modality if it can achieve the same results. This is the case </w:t>
      </w:r>
      <w:r>
        <w:rPr>
          <w:lang w:val="en-GB"/>
        </w:rPr>
        <w:t xml:space="preserve">for household level assistance in the form of </w:t>
      </w:r>
      <w:r w:rsidR="00080C4F">
        <w:rPr>
          <w:lang w:val="en-GB"/>
        </w:rPr>
        <w:t>general food distribution (</w:t>
      </w:r>
      <w:r>
        <w:rPr>
          <w:lang w:val="en-GB"/>
        </w:rPr>
        <w:t>GFD</w:t>
      </w:r>
      <w:r w:rsidR="00080C4F">
        <w:rPr>
          <w:lang w:val="en-GB"/>
        </w:rPr>
        <w:t>)</w:t>
      </w:r>
      <w:r>
        <w:rPr>
          <w:lang w:val="en-GB"/>
        </w:rPr>
        <w:t xml:space="preserve"> and </w:t>
      </w:r>
      <w:r w:rsidR="00080C4F">
        <w:rPr>
          <w:lang w:val="en-GB"/>
        </w:rPr>
        <w:t>non-food items (</w:t>
      </w:r>
      <w:r>
        <w:rPr>
          <w:lang w:val="en-GB"/>
        </w:rPr>
        <w:t>NFI</w:t>
      </w:r>
      <w:r w:rsidR="00080C4F">
        <w:rPr>
          <w:lang w:val="en-GB"/>
        </w:rPr>
        <w:t>)</w:t>
      </w:r>
      <w:r>
        <w:rPr>
          <w:lang w:val="en-GB"/>
        </w:rPr>
        <w:t xml:space="preserve"> assistance. </w:t>
      </w:r>
      <w:r w:rsidRPr="001469C8">
        <w:rPr>
          <w:lang w:val="en-GB"/>
        </w:rPr>
        <w:t xml:space="preserve">In the last couple of years and in many humanitarian contexts, GFD </w:t>
      </w:r>
      <w:r>
        <w:rPr>
          <w:lang w:val="en-GB"/>
        </w:rPr>
        <w:t>and NFI have</w:t>
      </w:r>
      <w:r w:rsidRPr="001469C8">
        <w:rPr>
          <w:lang w:val="en-GB"/>
        </w:rPr>
        <w:t xml:space="preserve"> been fully or partially replaced by mainly cash transfers but also vouchers.</w:t>
      </w:r>
      <w:r>
        <w:rPr>
          <w:lang w:val="en-GB"/>
        </w:rPr>
        <w:t xml:space="preserve"> </w:t>
      </w:r>
    </w:p>
    <w:p w14:paraId="6CA3AB9E" w14:textId="497D1BBE" w:rsidR="00257228" w:rsidRDefault="00257228" w:rsidP="00257228">
      <w:pPr>
        <w:jc w:val="both"/>
        <w:rPr>
          <w:lang w:val="en-GB"/>
        </w:rPr>
      </w:pPr>
      <w:r>
        <w:rPr>
          <w:lang w:val="en-GB"/>
        </w:rPr>
        <w:t xml:space="preserve">CVA can also replace some forms in-kind individual feeding assistance but special attention needs to be paid to </w:t>
      </w:r>
      <w:r w:rsidRPr="001469C8">
        <w:rPr>
          <w:lang w:val="en-GB"/>
        </w:rPr>
        <w:t>nutrient density</w:t>
      </w:r>
      <w:r>
        <w:rPr>
          <w:lang w:val="en-GB"/>
        </w:rPr>
        <w:t xml:space="preserve">. </w:t>
      </w:r>
      <w:r w:rsidRPr="001469C8">
        <w:rPr>
          <w:lang w:val="en-GB"/>
        </w:rPr>
        <w:t xml:space="preserve">Infants and young children have comparatively high energy requirements per kilogram of body weight and have limited capacities to consume food. They need complementary foods with a high nutrient density (particularly for iron and zinc), with a texture and a density that is palatable </w:t>
      </w:r>
      <w:r w:rsidRPr="00C6758E">
        <w:rPr>
          <w:lang w:val="en-GB"/>
        </w:rPr>
        <w:t xml:space="preserve">and likeable by children, taking into account their capacity to chew, the small size of their stomach, and safety considerations. </w:t>
      </w:r>
      <w:r w:rsidRPr="001A570A">
        <w:rPr>
          <w:lang w:val="en-GB"/>
        </w:rPr>
        <w:t>Their nutritional requirement is often easier to achieve with specialized nutritious foods as compared to locally available foods.</w:t>
      </w:r>
    </w:p>
    <w:p w14:paraId="05F70CBC" w14:textId="10303DAD" w:rsidR="00FC3FFB" w:rsidRPr="00BA41E1" w:rsidRDefault="00257228" w:rsidP="00257228">
      <w:pPr>
        <w:jc w:val="both"/>
        <w:rPr>
          <w:lang w:val="en-GB"/>
        </w:rPr>
      </w:pPr>
      <w:r w:rsidRPr="00C6758E">
        <w:rPr>
          <w:lang w:val="en-GB"/>
        </w:rPr>
        <w:t xml:space="preserve">In preventative strategies, CVA equivalent to the nutrient value of the take-home ration can </w:t>
      </w:r>
      <w:r>
        <w:rPr>
          <w:lang w:val="en-GB"/>
        </w:rPr>
        <w:t>be considered an alternative to certain specialized nutritious foods (lipid nutrient spread (LNS) and fortified blended foods (FBFs))</w:t>
      </w:r>
      <w:r w:rsidRPr="00C6758E">
        <w:rPr>
          <w:lang w:val="en-GB"/>
        </w:rPr>
        <w:t xml:space="preserve"> if nutritious foods with the required micro and macronutrients are available, accessible and can be prepared with sufficient nutrient density.</w:t>
      </w:r>
      <w:r>
        <w:rPr>
          <w:lang w:val="en-GB"/>
        </w:rPr>
        <w:t xml:space="preserve"> When it comes to preventing micro-nutrient deficiencies, </w:t>
      </w:r>
      <w:r w:rsidRPr="0079405B">
        <w:rPr>
          <w:b/>
          <w:bCs/>
          <w:lang w:val="en-GB"/>
        </w:rPr>
        <w:t xml:space="preserve">CVA is should not be considered an alternative to </w:t>
      </w:r>
      <w:r>
        <w:rPr>
          <w:b/>
          <w:bCs/>
          <w:lang w:val="en-GB"/>
        </w:rPr>
        <w:t>nutrition supplements</w:t>
      </w:r>
      <w:r w:rsidRPr="0079405B">
        <w:rPr>
          <w:b/>
          <w:bCs/>
          <w:lang w:val="en-GB"/>
        </w:rPr>
        <w:t xml:space="preserve"> </w:t>
      </w:r>
      <w:r>
        <w:rPr>
          <w:b/>
          <w:bCs/>
          <w:lang w:val="en-GB"/>
        </w:rPr>
        <w:t xml:space="preserve">(micro-nutrient powders) </w:t>
      </w:r>
      <w:r w:rsidRPr="0079405B">
        <w:rPr>
          <w:b/>
          <w:bCs/>
          <w:lang w:val="en-GB"/>
        </w:rPr>
        <w:t>to prevent micro-nutrient deficiencies</w:t>
      </w:r>
      <w:r>
        <w:rPr>
          <w:lang w:val="en-GB"/>
        </w:rPr>
        <w:t xml:space="preserve">. Similarly, </w:t>
      </w:r>
      <w:r w:rsidRPr="0079405B">
        <w:rPr>
          <w:b/>
          <w:bCs/>
          <w:lang w:val="en-GB"/>
        </w:rPr>
        <w:t xml:space="preserve">CVA should not be considered an alternative to specialized nutritious foods </w:t>
      </w:r>
      <w:r>
        <w:rPr>
          <w:b/>
          <w:bCs/>
          <w:lang w:val="en-GB"/>
        </w:rPr>
        <w:t>for</w:t>
      </w:r>
      <w:r w:rsidRPr="0079405B">
        <w:rPr>
          <w:b/>
          <w:bCs/>
          <w:lang w:val="en-GB"/>
        </w:rPr>
        <w:t xml:space="preserve"> the treatment of MAM and SAM</w:t>
      </w:r>
      <w:r>
        <w:rPr>
          <w:lang w:val="en-GB"/>
        </w:rPr>
        <w:t xml:space="preserve"> </w:t>
      </w:r>
      <w:r w:rsidRPr="00336998">
        <w:rPr>
          <w:lang w:val="en-GB"/>
        </w:rPr>
        <w:t xml:space="preserve">where a specific lack </w:t>
      </w:r>
      <w:r>
        <w:rPr>
          <w:lang w:val="en-GB"/>
        </w:rPr>
        <w:t>in</w:t>
      </w:r>
      <w:r w:rsidRPr="00336998">
        <w:rPr>
          <w:lang w:val="en-GB"/>
        </w:rPr>
        <w:t xml:space="preserve"> nutrients needs to be addressed.</w:t>
      </w:r>
      <w:r w:rsidR="00831B14">
        <w:rPr>
          <w:rStyle w:val="FootnoteReference"/>
          <w:lang w:val="en-GB"/>
        </w:rPr>
        <w:footnoteReference w:id="6"/>
      </w:r>
    </w:p>
    <w:p w14:paraId="0831F06F" w14:textId="77777777" w:rsidR="00CF504E" w:rsidRPr="00BA41E1" w:rsidRDefault="00CF504E" w:rsidP="00566ABA">
      <w:pPr>
        <w:jc w:val="both"/>
        <w:rPr>
          <w:lang w:val="en-GB"/>
        </w:rPr>
      </w:pPr>
    </w:p>
    <w:p w14:paraId="678FECE6" w14:textId="56D80C6B" w:rsidR="00EE5317" w:rsidRPr="00BA41E1" w:rsidRDefault="00EE5317" w:rsidP="00566ABA">
      <w:pPr>
        <w:pStyle w:val="Heading1"/>
        <w:jc w:val="both"/>
        <w:rPr>
          <w:lang w:val="en-GB"/>
        </w:rPr>
      </w:pPr>
      <w:bookmarkStart w:id="3" w:name="_Toc41558461"/>
      <w:r w:rsidRPr="00BA41E1">
        <w:rPr>
          <w:lang w:val="en-GB"/>
        </w:rPr>
        <w:t>The use of CVA in the nutrition response in Nigeria</w:t>
      </w:r>
      <w:bookmarkEnd w:id="3"/>
    </w:p>
    <w:p w14:paraId="542DA68D" w14:textId="77777777" w:rsidR="00CF504E" w:rsidRPr="00BA41E1" w:rsidRDefault="00CF504E" w:rsidP="00566ABA">
      <w:pPr>
        <w:jc w:val="both"/>
        <w:rPr>
          <w:lang w:val="en-GB"/>
        </w:rPr>
      </w:pPr>
      <w:r w:rsidRPr="00BA41E1">
        <w:rPr>
          <w:lang w:val="en-GB"/>
        </w:rPr>
        <w:t>Different partners have in the past years used cash and voucher assistance as part of their nutrition response to prevent and treat malnutrition and the number of projects seems to be increasing. According to the 2020 HRP, six projects mainly under prevention of acute malnutrition interventions will be implement through cash and voucher transfers, with a total financial requirement of $28.7 million, or 30 per cent of the Sector’s overall financial requirement.</w:t>
      </w:r>
    </w:p>
    <w:p w14:paraId="765B410B" w14:textId="16DAF848" w:rsidR="00CF504E" w:rsidRPr="00BA41E1" w:rsidRDefault="00CF504E" w:rsidP="00566ABA">
      <w:pPr>
        <w:jc w:val="both"/>
        <w:rPr>
          <w:lang w:val="en-GB"/>
        </w:rPr>
      </w:pPr>
      <w:r w:rsidRPr="00BA41E1">
        <w:rPr>
          <w:lang w:val="en-GB"/>
        </w:rPr>
        <w:t xml:space="preserve">The projects reviewed as part of the case study (see project list in chapter </w:t>
      </w:r>
      <w:r w:rsidR="00097A62" w:rsidRPr="00BA41E1">
        <w:rPr>
          <w:lang w:val="en-GB"/>
        </w:rPr>
        <w:t>1</w:t>
      </w:r>
      <w:r w:rsidRPr="00BA41E1">
        <w:rPr>
          <w:lang w:val="en-GB"/>
        </w:rPr>
        <w:t xml:space="preserve">) can be broadly categorized as follows: </w:t>
      </w:r>
      <w:r w:rsidR="00FA0E43" w:rsidRPr="00BA41E1">
        <w:rPr>
          <w:lang w:val="en-GB"/>
        </w:rPr>
        <w:t>pairing</w:t>
      </w:r>
      <w:r w:rsidRPr="00BA41E1">
        <w:rPr>
          <w:lang w:val="en-GB"/>
        </w:rPr>
        <w:t xml:space="preserve"> </w:t>
      </w:r>
      <w:r w:rsidR="00F8056B" w:rsidRPr="00BA41E1">
        <w:rPr>
          <w:lang w:val="en-GB"/>
        </w:rPr>
        <w:t>CVA</w:t>
      </w:r>
      <w:r w:rsidRPr="00BA41E1">
        <w:rPr>
          <w:lang w:val="en-GB"/>
        </w:rPr>
        <w:t xml:space="preserve"> </w:t>
      </w:r>
      <w:r w:rsidR="00F8056B" w:rsidRPr="00BA41E1">
        <w:rPr>
          <w:lang w:val="en-GB"/>
        </w:rPr>
        <w:t xml:space="preserve">(at household or individual level) </w:t>
      </w:r>
      <w:r w:rsidRPr="00BA41E1">
        <w:rPr>
          <w:lang w:val="en-GB"/>
        </w:rPr>
        <w:t xml:space="preserve">with nutrition </w:t>
      </w:r>
      <w:r w:rsidR="00097A62" w:rsidRPr="00BA41E1">
        <w:rPr>
          <w:lang w:val="en-GB"/>
        </w:rPr>
        <w:t>SBC</w:t>
      </w:r>
      <w:r w:rsidRPr="00BA41E1">
        <w:rPr>
          <w:lang w:val="en-GB"/>
        </w:rPr>
        <w:t xml:space="preserve">, </w:t>
      </w:r>
      <w:r w:rsidR="00F8056B" w:rsidRPr="00BA41E1">
        <w:rPr>
          <w:lang w:val="en-GB"/>
        </w:rPr>
        <w:t xml:space="preserve">providing cash transfers </w:t>
      </w:r>
      <w:r w:rsidR="00FA0E43" w:rsidRPr="00BA41E1">
        <w:rPr>
          <w:lang w:val="en-GB"/>
        </w:rPr>
        <w:t>conditional on attendance to</w:t>
      </w:r>
      <w:r w:rsidR="00F8056B" w:rsidRPr="00BA41E1">
        <w:rPr>
          <w:lang w:val="en-GB"/>
        </w:rPr>
        <w:t xml:space="preserve"> priority health services, and providing cash transfers in combination with SAM treatment.</w:t>
      </w:r>
    </w:p>
    <w:p w14:paraId="5A92C804" w14:textId="19E056DB" w:rsidR="00AA6719" w:rsidRPr="00BA41E1" w:rsidRDefault="00AA6719" w:rsidP="00566ABA">
      <w:pPr>
        <w:jc w:val="both"/>
        <w:rPr>
          <w:lang w:val="en-GB"/>
        </w:rPr>
      </w:pPr>
    </w:p>
    <w:p w14:paraId="4E70C774" w14:textId="01991541" w:rsidR="00574E4C" w:rsidRPr="00BA41E1" w:rsidRDefault="00F8056B" w:rsidP="00566ABA">
      <w:pPr>
        <w:pStyle w:val="Heading2"/>
        <w:jc w:val="both"/>
        <w:rPr>
          <w:lang w:val="en-GB"/>
        </w:rPr>
      </w:pPr>
      <w:bookmarkStart w:id="4" w:name="_Toc41558462"/>
      <w:r w:rsidRPr="00BA41E1">
        <w:rPr>
          <w:lang w:val="en-GB"/>
        </w:rPr>
        <w:t>Providing</w:t>
      </w:r>
      <w:r w:rsidR="00574E4C" w:rsidRPr="00BA41E1">
        <w:rPr>
          <w:lang w:val="en-GB"/>
        </w:rPr>
        <w:t xml:space="preserve"> cash transfers with nutrition social and behavioural change communication</w:t>
      </w:r>
      <w:bookmarkEnd w:id="4"/>
    </w:p>
    <w:p w14:paraId="1D90C90B" w14:textId="53AD3963" w:rsidR="00B55454" w:rsidRPr="00BA41E1" w:rsidRDefault="00C961AD" w:rsidP="00B55454">
      <w:pPr>
        <w:jc w:val="both"/>
        <w:rPr>
          <w:lang w:val="en-GB"/>
        </w:rPr>
      </w:pPr>
      <w:r w:rsidRPr="00BA41E1">
        <w:rPr>
          <w:lang w:val="en-GB"/>
        </w:rPr>
        <w:t>In programmes where CVA and SBC</w:t>
      </w:r>
      <w:r w:rsidR="00CA377F">
        <w:rPr>
          <w:lang w:val="en-GB"/>
        </w:rPr>
        <w:t xml:space="preserve"> </w:t>
      </w:r>
      <w:r w:rsidRPr="00BA41E1">
        <w:rPr>
          <w:lang w:val="en-GB"/>
        </w:rPr>
        <w:t xml:space="preserve">are combined, CVA can be provided either conditionally (i.e. the assistance is tied to the participation in interpersonal SBC activities) or unconditionally (i.e. the assistance is </w:t>
      </w:r>
      <w:r w:rsidRPr="00BA41E1">
        <w:rPr>
          <w:u w:val="single"/>
          <w:lang w:val="en-GB"/>
        </w:rPr>
        <w:t>not</w:t>
      </w:r>
      <w:r w:rsidRPr="00BA41E1">
        <w:rPr>
          <w:lang w:val="en-GB"/>
        </w:rPr>
        <w:t xml:space="preserve"> tied to the participation in interpersonal SBC activities). </w:t>
      </w:r>
      <w:r w:rsidR="00B55454" w:rsidRPr="00BA41E1">
        <w:rPr>
          <w:lang w:val="en-GB"/>
        </w:rPr>
        <w:t xml:space="preserve">There is relatively strong peer-reviewed and operational evidence that combining household cash transfers with SBC can be an effective strategy to improve nutrition outcomes of children. The two components seem to mutually reinforce each other in the sense that the SBCC component seems to promote nutrition-sensitive and child-centred spending decisions while the cash transfer allows caregivers to put some of the learning into practice. Therefore, when providing cash transfers to achieve nutrition outcomes, the integration of </w:t>
      </w:r>
      <w:r w:rsidR="00C027C5">
        <w:rPr>
          <w:lang w:val="en-GB"/>
        </w:rPr>
        <w:t xml:space="preserve">nutrition </w:t>
      </w:r>
      <w:r w:rsidR="00B55454" w:rsidRPr="00BA41E1">
        <w:rPr>
          <w:lang w:val="en-GB"/>
        </w:rPr>
        <w:t>SBCC is indispensable</w:t>
      </w:r>
      <w:r w:rsidR="007F0C70">
        <w:rPr>
          <w:rStyle w:val="FootnoteReference"/>
          <w:lang w:val="en-GB"/>
        </w:rPr>
        <w:footnoteReference w:id="7"/>
      </w:r>
      <w:r w:rsidR="00B55454" w:rsidRPr="00BA41E1">
        <w:rPr>
          <w:lang w:val="en-GB"/>
        </w:rPr>
        <w:t>.</w:t>
      </w:r>
      <w:r w:rsidR="00E74E5C" w:rsidRPr="00BA41E1">
        <w:rPr>
          <w:lang w:val="en-GB"/>
        </w:rPr>
        <w:t xml:space="preserve"> </w:t>
      </w:r>
    </w:p>
    <w:p w14:paraId="53AA8BD1" w14:textId="2B6CD388" w:rsidR="00574E4C" w:rsidRPr="00BA41E1" w:rsidRDefault="00574E4C" w:rsidP="00566ABA">
      <w:pPr>
        <w:jc w:val="both"/>
        <w:rPr>
          <w:lang w:val="en-GB"/>
        </w:rPr>
      </w:pPr>
      <w:r w:rsidRPr="00BA41E1">
        <w:rPr>
          <w:lang w:val="en-GB"/>
        </w:rPr>
        <w:t xml:space="preserve">Since 2016, </w:t>
      </w:r>
      <w:r w:rsidRPr="00BA41E1">
        <w:rPr>
          <w:b/>
          <w:bCs/>
          <w:lang w:val="en-GB"/>
        </w:rPr>
        <w:t>Action Against Hunger</w:t>
      </w:r>
      <w:r w:rsidRPr="00BA41E1">
        <w:rPr>
          <w:lang w:val="en-GB"/>
        </w:rPr>
        <w:t xml:space="preserve"> (AAH) has implemented three subsequent projects aiming to improve food and nutrition security of crisis-affected populations and Borno and Yobe states. These projects followed</w:t>
      </w:r>
      <w:r w:rsidR="00AF05B4" w:rsidRPr="00BA41E1">
        <w:rPr>
          <w:lang w:val="en-GB"/>
        </w:rPr>
        <w:t xml:space="preserve"> a similar approach and combined general household assistance (</w:t>
      </w:r>
      <w:r w:rsidRPr="00BA41E1">
        <w:rPr>
          <w:lang w:val="en-GB"/>
        </w:rPr>
        <w:t xml:space="preserve">i.e. </w:t>
      </w:r>
      <w:r w:rsidR="004923F3" w:rsidRPr="00BA41E1">
        <w:rPr>
          <w:lang w:val="en-GB"/>
        </w:rPr>
        <w:t xml:space="preserve">the provision of </w:t>
      </w:r>
      <w:r w:rsidR="00EA25E7" w:rsidRPr="00BA41E1">
        <w:rPr>
          <w:lang w:val="en-GB"/>
        </w:rPr>
        <w:t xml:space="preserve">food, </w:t>
      </w:r>
      <w:r w:rsidR="004923F3" w:rsidRPr="00BA41E1">
        <w:rPr>
          <w:lang w:val="en-GB"/>
        </w:rPr>
        <w:t>cash and/or vouchers</w:t>
      </w:r>
      <w:r w:rsidR="00AF05B4" w:rsidRPr="00BA41E1">
        <w:rPr>
          <w:lang w:val="en-GB"/>
        </w:rPr>
        <w:t>)</w:t>
      </w:r>
      <w:r w:rsidR="004923F3" w:rsidRPr="00BA41E1">
        <w:rPr>
          <w:lang w:val="en-GB"/>
        </w:rPr>
        <w:t xml:space="preserve"> to increase </w:t>
      </w:r>
      <w:r w:rsidR="001313BA" w:rsidRPr="00BA41E1">
        <w:rPr>
          <w:lang w:val="en-GB"/>
        </w:rPr>
        <w:t xml:space="preserve">immediate food consumption for food-insecure households and </w:t>
      </w:r>
      <w:r w:rsidR="004923F3" w:rsidRPr="00BA41E1">
        <w:rPr>
          <w:lang w:val="en-GB"/>
        </w:rPr>
        <w:t xml:space="preserve">nutrition </w:t>
      </w:r>
      <w:r w:rsidR="001313BA" w:rsidRPr="00BA41E1">
        <w:rPr>
          <w:lang w:val="en-GB"/>
        </w:rPr>
        <w:t>behaviour change interventions</w:t>
      </w:r>
      <w:r w:rsidR="004923F3" w:rsidRPr="00BA41E1">
        <w:rPr>
          <w:lang w:val="en-GB"/>
        </w:rPr>
        <w:t xml:space="preserve"> targeting </w:t>
      </w:r>
      <w:r w:rsidR="00CA377F">
        <w:rPr>
          <w:lang w:val="en-GB"/>
        </w:rPr>
        <w:t>pregnant and lactating women (</w:t>
      </w:r>
      <w:r w:rsidR="004923F3" w:rsidRPr="00BA41E1">
        <w:rPr>
          <w:lang w:val="en-GB"/>
        </w:rPr>
        <w:t>PLW</w:t>
      </w:r>
      <w:r w:rsidR="00CA377F">
        <w:rPr>
          <w:lang w:val="en-GB"/>
        </w:rPr>
        <w:t>)</w:t>
      </w:r>
      <w:r w:rsidR="004923F3" w:rsidRPr="00BA41E1">
        <w:rPr>
          <w:lang w:val="en-GB"/>
        </w:rPr>
        <w:t xml:space="preserve"> with a focus on </w:t>
      </w:r>
      <w:r w:rsidR="001313BA" w:rsidRPr="00BA41E1">
        <w:rPr>
          <w:lang w:val="en-GB"/>
        </w:rPr>
        <w:t>adoption of optimal infant/young child feeding practices by caregivers.</w:t>
      </w:r>
      <w:r w:rsidR="004923F3" w:rsidRPr="00BA41E1">
        <w:rPr>
          <w:lang w:val="en-GB"/>
        </w:rPr>
        <w:t xml:space="preserve"> </w:t>
      </w:r>
    </w:p>
    <w:p w14:paraId="3F9C212C" w14:textId="70C34CFE" w:rsidR="00AF05B4" w:rsidRPr="00BA41E1" w:rsidRDefault="00AF05B4" w:rsidP="00566ABA">
      <w:pPr>
        <w:jc w:val="both"/>
        <w:rPr>
          <w:lang w:val="en-GB"/>
        </w:rPr>
      </w:pPr>
      <w:r w:rsidRPr="00BA41E1">
        <w:rPr>
          <w:lang w:val="en-GB"/>
        </w:rPr>
        <w:t xml:space="preserve">The transfer amount of the household assistance ranged between 17,000 to 21,000 </w:t>
      </w:r>
      <w:r w:rsidR="007D3A8A">
        <w:rPr>
          <w:lang w:val="en-GB"/>
        </w:rPr>
        <w:t>NGN</w:t>
      </w:r>
      <w:r w:rsidRPr="00BA41E1">
        <w:rPr>
          <w:lang w:val="en-GB"/>
        </w:rPr>
        <w:t xml:space="preserve"> per household per month. This represented between 70% to 100% of the minimum food or expenditure basket.</w:t>
      </w:r>
      <w:r w:rsidR="00C87CEE" w:rsidRPr="00BA41E1">
        <w:rPr>
          <w:lang w:val="en-GB"/>
        </w:rPr>
        <w:t xml:space="preserve"> Project evaluations </w:t>
      </w:r>
      <w:r w:rsidR="00E33230" w:rsidRPr="00BA41E1">
        <w:rPr>
          <w:lang w:val="en-GB"/>
        </w:rPr>
        <w:t xml:space="preserve">from Yobe and Borno </w:t>
      </w:r>
      <w:r w:rsidR="00C87CEE" w:rsidRPr="00BA41E1">
        <w:rPr>
          <w:lang w:val="en-GB"/>
        </w:rPr>
        <w:t xml:space="preserve">found that the cash and voucher assistance helped households to improve diversify their diets. Also, cash transfers helped recipients to pay for immediate medical needs. </w:t>
      </w:r>
      <w:r w:rsidR="00E33230" w:rsidRPr="00BA41E1">
        <w:rPr>
          <w:lang w:val="en-GB"/>
        </w:rPr>
        <w:t>The Borno evaluation found that cash transfers were more effective for increasing dietary diversity and quality, while food vouchers had a greater impact on per capita daily caloric intake.</w:t>
      </w:r>
    </w:p>
    <w:p w14:paraId="39DAC304" w14:textId="0AEC5C45" w:rsidR="00C87CEE" w:rsidRPr="00BA41E1" w:rsidRDefault="00AF05B4" w:rsidP="00566ABA">
      <w:pPr>
        <w:jc w:val="both"/>
        <w:rPr>
          <w:lang w:val="en-GB"/>
        </w:rPr>
      </w:pPr>
      <w:r w:rsidRPr="00BA41E1">
        <w:rPr>
          <w:lang w:val="en-GB"/>
        </w:rPr>
        <w:t xml:space="preserve">The implementation of the </w:t>
      </w:r>
      <w:r w:rsidR="00002979" w:rsidRPr="00BA41E1">
        <w:rPr>
          <w:lang w:val="en-GB"/>
        </w:rPr>
        <w:t xml:space="preserve">nutrition </w:t>
      </w:r>
      <w:r w:rsidRPr="00BA41E1">
        <w:rPr>
          <w:lang w:val="en-GB"/>
        </w:rPr>
        <w:t>SBCC approach varied between projects and states</w:t>
      </w:r>
      <w:r w:rsidR="009E4BF7" w:rsidRPr="00BA41E1">
        <w:rPr>
          <w:lang w:val="en-GB"/>
        </w:rPr>
        <w:t>:</w:t>
      </w:r>
    </w:p>
    <w:p w14:paraId="6BCA01CE" w14:textId="78CF8624" w:rsidR="00AF05B4" w:rsidRPr="00BA41E1" w:rsidRDefault="00AF05B4" w:rsidP="00566ABA">
      <w:pPr>
        <w:jc w:val="both"/>
        <w:rPr>
          <w:lang w:val="en-GB"/>
        </w:rPr>
      </w:pPr>
      <w:r w:rsidRPr="00BA41E1">
        <w:rPr>
          <w:lang w:val="en-GB"/>
        </w:rPr>
        <w:t xml:space="preserve">In In </w:t>
      </w:r>
      <w:r w:rsidRPr="00BA41E1">
        <w:rPr>
          <w:i/>
          <w:iCs/>
          <w:lang w:val="en-GB"/>
        </w:rPr>
        <w:t>Yobe</w:t>
      </w:r>
      <w:r w:rsidRPr="00BA41E1">
        <w:rPr>
          <w:lang w:val="en-GB"/>
        </w:rPr>
        <w:t xml:space="preserve"> state, 1,500 PLWs benefited from </w:t>
      </w:r>
      <w:r w:rsidR="007D3A8A">
        <w:rPr>
          <w:lang w:val="en-GB"/>
        </w:rPr>
        <w:t>infant and young child feeding (</w:t>
      </w:r>
      <w:r w:rsidRPr="00BA41E1">
        <w:rPr>
          <w:lang w:val="en-GB"/>
        </w:rPr>
        <w:t>IYCF</w:t>
      </w:r>
      <w:r w:rsidR="007D3A8A">
        <w:rPr>
          <w:lang w:val="en-GB"/>
        </w:rPr>
        <w:t>)</w:t>
      </w:r>
      <w:r w:rsidRPr="00BA41E1">
        <w:rPr>
          <w:lang w:val="en-GB"/>
        </w:rPr>
        <w:t xml:space="preserve"> counselling through </w:t>
      </w:r>
      <w:r w:rsidRPr="00BA41E1">
        <w:rPr>
          <w:i/>
          <w:iCs/>
          <w:lang w:val="en-GB"/>
        </w:rPr>
        <w:t>care groups</w:t>
      </w:r>
      <w:r w:rsidRPr="00BA41E1">
        <w:rPr>
          <w:lang w:val="en-GB"/>
        </w:rPr>
        <w:t xml:space="preserve">. The aim of the IYCF activities was to equip women with skills and knowledge on how to prepare healthy and nutritious meal from the locally available food for all children under five years of age and pregnant and lactating women in order to prevent children detected MAM during screenings from deteriorating into SAM and referred the SAM case to nearest </w:t>
      </w:r>
      <w:r w:rsidR="007D3A8A">
        <w:rPr>
          <w:lang w:val="en-GB"/>
        </w:rPr>
        <w:t>o</w:t>
      </w:r>
      <w:r w:rsidR="007D3A8A" w:rsidRPr="007D3A8A">
        <w:rPr>
          <w:lang w:val="en-GB"/>
        </w:rPr>
        <w:t xml:space="preserve">utpatient therapeutic program </w:t>
      </w:r>
      <w:r w:rsidR="007D3A8A">
        <w:rPr>
          <w:lang w:val="en-GB"/>
        </w:rPr>
        <w:t>(</w:t>
      </w:r>
      <w:r w:rsidRPr="00BA41E1">
        <w:rPr>
          <w:lang w:val="en-GB"/>
        </w:rPr>
        <w:t>OTP</w:t>
      </w:r>
      <w:r w:rsidR="007D3A8A">
        <w:rPr>
          <w:lang w:val="en-GB"/>
        </w:rPr>
        <w:t>)</w:t>
      </w:r>
      <w:r w:rsidRPr="00BA41E1">
        <w:rPr>
          <w:lang w:val="en-GB"/>
        </w:rPr>
        <w:t xml:space="preserve"> site before onset of medical complications, especially in view of the approaching lean season. The project evaluation revealed that </w:t>
      </w:r>
      <w:r w:rsidR="009A0982" w:rsidRPr="00BA41E1">
        <w:rPr>
          <w:lang w:val="en-GB"/>
        </w:rPr>
        <w:t xml:space="preserve">the IYCF activities had a positive impact on </w:t>
      </w:r>
      <w:r w:rsidR="00C87CEE" w:rsidRPr="00BA41E1">
        <w:rPr>
          <w:lang w:val="en-GB"/>
        </w:rPr>
        <w:t xml:space="preserve">the rate of </w:t>
      </w:r>
      <w:r w:rsidR="009A0982" w:rsidRPr="00BA41E1">
        <w:rPr>
          <w:lang w:val="en-GB"/>
        </w:rPr>
        <w:t xml:space="preserve">exclusive breastfeeding, which increased from </w:t>
      </w:r>
      <w:r w:rsidR="00C87CEE" w:rsidRPr="00BA41E1">
        <w:rPr>
          <w:lang w:val="en-GB"/>
        </w:rPr>
        <w:t>26</w:t>
      </w:r>
      <w:r w:rsidR="009A0982" w:rsidRPr="00BA41E1">
        <w:rPr>
          <w:lang w:val="en-GB"/>
        </w:rPr>
        <w:t xml:space="preserve">% at baseline to </w:t>
      </w:r>
      <w:r w:rsidR="00C87CEE" w:rsidRPr="00BA41E1">
        <w:rPr>
          <w:lang w:val="en-GB"/>
        </w:rPr>
        <w:t>72</w:t>
      </w:r>
      <w:r w:rsidR="009A0982" w:rsidRPr="00BA41E1">
        <w:rPr>
          <w:lang w:val="en-GB"/>
        </w:rPr>
        <w:t>%</w:t>
      </w:r>
      <w:r w:rsidR="00C87CEE" w:rsidRPr="00BA41E1">
        <w:rPr>
          <w:lang w:val="en-GB"/>
        </w:rPr>
        <w:t xml:space="preserve"> at endline. </w:t>
      </w:r>
    </w:p>
    <w:p w14:paraId="7F68F96E" w14:textId="0E206075" w:rsidR="00AF05B4" w:rsidRPr="00BA41E1" w:rsidRDefault="00AF05B4" w:rsidP="00566ABA">
      <w:pPr>
        <w:jc w:val="both"/>
        <w:rPr>
          <w:lang w:val="en-GB"/>
        </w:rPr>
      </w:pPr>
      <w:r w:rsidRPr="00BA41E1">
        <w:rPr>
          <w:lang w:val="en-GB"/>
        </w:rPr>
        <w:t xml:space="preserve">In </w:t>
      </w:r>
      <w:r w:rsidRPr="00BA41E1">
        <w:rPr>
          <w:i/>
          <w:iCs/>
          <w:lang w:val="en-GB"/>
        </w:rPr>
        <w:t>Borno</w:t>
      </w:r>
      <w:r w:rsidRPr="00BA41E1">
        <w:rPr>
          <w:lang w:val="en-GB"/>
        </w:rPr>
        <w:t xml:space="preserve"> state, </w:t>
      </w:r>
      <w:r w:rsidR="00950FD3" w:rsidRPr="00BA41E1">
        <w:rPr>
          <w:lang w:val="en-GB"/>
        </w:rPr>
        <w:t xml:space="preserve">AAH continued with the </w:t>
      </w:r>
      <w:r w:rsidR="00950FD3" w:rsidRPr="00BA41E1">
        <w:rPr>
          <w:i/>
          <w:iCs/>
          <w:lang w:val="en-GB"/>
        </w:rPr>
        <w:t>Porridge Mum</w:t>
      </w:r>
      <w:r w:rsidR="00950FD3" w:rsidRPr="00BA41E1">
        <w:rPr>
          <w:lang w:val="en-GB"/>
        </w:rPr>
        <w:t xml:space="preserve"> </w:t>
      </w:r>
      <w:r w:rsidR="00E463B1" w:rsidRPr="00BA41E1">
        <w:rPr>
          <w:lang w:val="en-GB"/>
        </w:rPr>
        <w:t>approach</w:t>
      </w:r>
      <w:r w:rsidR="005F6BCB" w:rsidRPr="00BA41E1">
        <w:rPr>
          <w:rStyle w:val="FootnoteReference"/>
          <w:lang w:val="en-GB"/>
        </w:rPr>
        <w:footnoteReference w:id="8"/>
      </w:r>
      <w:r w:rsidR="00E463B1" w:rsidRPr="00BA41E1">
        <w:rPr>
          <w:lang w:val="en-GB"/>
        </w:rPr>
        <w:t xml:space="preserve">. </w:t>
      </w:r>
      <w:r w:rsidR="005F6BCB" w:rsidRPr="00BA41E1">
        <w:rPr>
          <w:lang w:val="en-GB"/>
        </w:rPr>
        <w:t xml:space="preserve">AHH during the 2018-2019 project </w:t>
      </w:r>
      <w:r w:rsidR="00950FD3" w:rsidRPr="00BA41E1">
        <w:rPr>
          <w:lang w:val="en-GB"/>
        </w:rPr>
        <w:t xml:space="preserve">supported 100 porridge mom groups that comprised of a total of 1,500 PLWs. </w:t>
      </w:r>
      <w:r w:rsidR="005F6BCB" w:rsidRPr="00BA41E1">
        <w:rPr>
          <w:lang w:val="en-GB"/>
        </w:rPr>
        <w:t>E</w:t>
      </w:r>
      <w:r w:rsidR="00950FD3" w:rsidRPr="00BA41E1">
        <w:rPr>
          <w:lang w:val="en-GB"/>
        </w:rPr>
        <w:t xml:space="preserve">ach group received </w:t>
      </w:r>
      <w:r w:rsidR="003E759A" w:rsidRPr="00BA41E1">
        <w:rPr>
          <w:lang w:val="en-GB"/>
        </w:rPr>
        <w:t xml:space="preserve">a </w:t>
      </w:r>
      <w:r w:rsidR="00950FD3" w:rsidRPr="00BA41E1">
        <w:rPr>
          <w:lang w:val="en-GB"/>
        </w:rPr>
        <w:t>set of cooking utensils including a locally made fuel efficient stove</w:t>
      </w:r>
      <w:r w:rsidR="005C0214" w:rsidRPr="00BA41E1">
        <w:rPr>
          <w:lang w:val="en-GB"/>
        </w:rPr>
        <w:t xml:space="preserve">, </w:t>
      </w:r>
      <w:r w:rsidR="003E759A" w:rsidRPr="00BA41E1">
        <w:rPr>
          <w:lang w:val="en-GB"/>
        </w:rPr>
        <w:t>a</w:t>
      </w:r>
      <w:r w:rsidR="005C0214" w:rsidRPr="00BA41E1">
        <w:rPr>
          <w:lang w:val="en-GB"/>
        </w:rPr>
        <w:t>n electronic</w:t>
      </w:r>
      <w:r w:rsidR="003E759A" w:rsidRPr="00BA41E1">
        <w:rPr>
          <w:lang w:val="en-GB"/>
        </w:rPr>
        <w:t xml:space="preserve"> food voucher to purchase the ingredients for the daily cooking demonstration</w:t>
      </w:r>
      <w:r w:rsidR="005C0214" w:rsidRPr="00BA41E1">
        <w:rPr>
          <w:lang w:val="en-GB"/>
        </w:rPr>
        <w:t xml:space="preserve"> and a cash transfer to cover additional costs related to transportation and cooking. </w:t>
      </w:r>
      <w:r w:rsidR="003E759A" w:rsidRPr="00BA41E1">
        <w:rPr>
          <w:lang w:val="en-GB"/>
        </w:rPr>
        <w:t xml:space="preserve">The food voucher </w:t>
      </w:r>
      <w:r w:rsidR="005C0214" w:rsidRPr="00BA41E1">
        <w:rPr>
          <w:lang w:val="en-GB"/>
        </w:rPr>
        <w:t xml:space="preserve">and cash transfer </w:t>
      </w:r>
      <w:r w:rsidR="003E759A" w:rsidRPr="00BA41E1">
        <w:rPr>
          <w:lang w:val="en-GB"/>
        </w:rPr>
        <w:t xml:space="preserve">was administered </w:t>
      </w:r>
      <w:r w:rsidR="00B41EB2">
        <w:rPr>
          <w:lang w:val="en-GB"/>
        </w:rPr>
        <w:t xml:space="preserve">by </w:t>
      </w:r>
      <w:r w:rsidR="003E759A" w:rsidRPr="00BA41E1">
        <w:rPr>
          <w:lang w:val="en-GB"/>
        </w:rPr>
        <w:t xml:space="preserve">each group’s treasurer. </w:t>
      </w:r>
      <w:r w:rsidR="005C0214" w:rsidRPr="00BA41E1">
        <w:rPr>
          <w:lang w:val="en-GB"/>
        </w:rPr>
        <w:t>Also</w:t>
      </w:r>
      <w:r w:rsidR="003E759A" w:rsidRPr="00BA41E1">
        <w:rPr>
          <w:lang w:val="en-GB"/>
        </w:rPr>
        <w:t xml:space="preserve">, each group was </w:t>
      </w:r>
      <w:r w:rsidR="00950FD3" w:rsidRPr="00BA41E1">
        <w:rPr>
          <w:lang w:val="en-GB"/>
        </w:rPr>
        <w:t xml:space="preserve">trained on preparation and cooking of nutritious foods. </w:t>
      </w:r>
      <w:r w:rsidR="00194F4C" w:rsidRPr="00BA41E1">
        <w:rPr>
          <w:lang w:val="en-GB"/>
        </w:rPr>
        <w:t xml:space="preserve">The evaluation found that </w:t>
      </w:r>
      <w:r w:rsidR="001612EF" w:rsidRPr="00BA41E1">
        <w:rPr>
          <w:lang w:val="en-GB"/>
        </w:rPr>
        <w:t>the</w:t>
      </w:r>
      <w:r w:rsidR="00194F4C" w:rsidRPr="00BA41E1">
        <w:rPr>
          <w:lang w:val="en-GB"/>
        </w:rPr>
        <w:t xml:space="preserve"> knowledge on complementary nutrition activities through porridge mum were highly satisfactory resulting in long-term impact and contributing to households positive coping mechanism.</w:t>
      </w:r>
      <w:r w:rsidR="001612EF" w:rsidRPr="00BA41E1">
        <w:rPr>
          <w:lang w:val="en-GB"/>
        </w:rPr>
        <w:t xml:space="preserve"> However, the evaluation also found that kitchen-based activities, i.e. the daily preparation of nutritious meals, were stopped at same time when AAH assistance stopped by end of March 2019. For the follow up project</w:t>
      </w:r>
      <w:r w:rsidR="00F72D38" w:rsidRPr="00BA41E1">
        <w:rPr>
          <w:lang w:val="en-GB"/>
        </w:rPr>
        <w:t xml:space="preserve">, AAH changed its porridge mum approach and reduced the number of cooking demonstrations and feeding sessions to twice weekly. Instead of providing food vouchers and cash transfers to the porridge mom group, AAH now provides food vouchers at NGN 5000 per month directly to PLWs. With these monthly transfers, each PLW is expected to contribute to the cooking demonstration requirements of their groups. </w:t>
      </w:r>
    </w:p>
    <w:p w14:paraId="3BAD1FDB" w14:textId="4C5A19F3" w:rsidR="001612EF" w:rsidRPr="00BA41E1" w:rsidRDefault="00232889" w:rsidP="00566ABA">
      <w:pPr>
        <w:jc w:val="both"/>
        <w:rPr>
          <w:lang w:val="en-GB"/>
        </w:rPr>
      </w:pPr>
      <w:r w:rsidRPr="00BA41E1">
        <w:rPr>
          <w:lang w:val="en-GB"/>
        </w:rPr>
        <w:t xml:space="preserve">The </w:t>
      </w:r>
      <w:r w:rsidRPr="00BA41E1">
        <w:rPr>
          <w:b/>
          <w:bCs/>
          <w:lang w:val="en-GB"/>
        </w:rPr>
        <w:t>ICRC</w:t>
      </w:r>
      <w:r w:rsidRPr="00BA41E1">
        <w:rPr>
          <w:lang w:val="en-GB"/>
        </w:rPr>
        <w:t xml:space="preserve"> </w:t>
      </w:r>
      <w:r w:rsidR="003313CB" w:rsidRPr="00BA41E1">
        <w:rPr>
          <w:lang w:val="en-GB"/>
        </w:rPr>
        <w:t xml:space="preserve">initiated a project aimed at improving IYCF practices for caregivers in Muna Garage IDP camps in May 2019. The intervention consisted of IYCF counselling on maternal nutrition, early Initiation of breastfeeding and exclusive breastfeeding. The project team noted that most women were experiencing low milk supply associated with an inadequate diet and lack of food intake. In response, the ICRC introduced food and cash assistance to 350 lactating women. The aim of the assistance is to improve food consumption of lactating women and thereby prevent malnutrition of both women and the breastfed children. The assistance is comprised of a </w:t>
      </w:r>
      <w:r w:rsidR="00CE0A84" w:rsidRPr="00BA41E1">
        <w:rPr>
          <w:lang w:val="en-GB"/>
        </w:rPr>
        <w:t>one-off</w:t>
      </w:r>
      <w:r w:rsidR="003313CB" w:rsidRPr="00BA41E1">
        <w:rPr>
          <w:lang w:val="en-GB"/>
        </w:rPr>
        <w:t xml:space="preserve"> food ration and two rounds of unconditional cash transfers of </w:t>
      </w:r>
      <w:r w:rsidR="001664C0">
        <w:rPr>
          <w:lang w:val="en-GB"/>
        </w:rPr>
        <w:t xml:space="preserve">NGN </w:t>
      </w:r>
      <w:r w:rsidR="003313CB" w:rsidRPr="00BA41E1">
        <w:rPr>
          <w:lang w:val="en-GB"/>
        </w:rPr>
        <w:t>30,000 per month.</w:t>
      </w:r>
    </w:p>
    <w:p w14:paraId="2A646D3A" w14:textId="77777777" w:rsidR="00CF504E" w:rsidRPr="00BA41E1" w:rsidRDefault="00CF504E" w:rsidP="00566ABA">
      <w:pPr>
        <w:jc w:val="both"/>
        <w:rPr>
          <w:lang w:val="en-GB"/>
        </w:rPr>
      </w:pPr>
    </w:p>
    <w:p w14:paraId="46B6C470" w14:textId="302EDFD4" w:rsidR="00432A8B" w:rsidRPr="00BA41E1" w:rsidRDefault="00574E4C" w:rsidP="00566ABA">
      <w:pPr>
        <w:pStyle w:val="Heading2"/>
        <w:jc w:val="both"/>
        <w:rPr>
          <w:lang w:val="en-GB"/>
        </w:rPr>
      </w:pPr>
      <w:bookmarkStart w:id="5" w:name="_Toc41558463"/>
      <w:r w:rsidRPr="00BA41E1">
        <w:rPr>
          <w:lang w:val="en-GB"/>
        </w:rPr>
        <w:t>Providing cash transfers conditional to the attendance of priority health services</w:t>
      </w:r>
      <w:bookmarkEnd w:id="5"/>
    </w:p>
    <w:p w14:paraId="42F51C7B" w14:textId="5CFF50A1" w:rsidR="00B55454" w:rsidRPr="00BA41E1" w:rsidRDefault="00B55454" w:rsidP="00566ABA">
      <w:pPr>
        <w:jc w:val="both"/>
        <w:rPr>
          <w:lang w:val="en-GB"/>
        </w:rPr>
      </w:pPr>
      <w:r w:rsidRPr="00BA41E1">
        <w:rPr>
          <w:lang w:val="en-GB"/>
        </w:rPr>
        <w:t>There is strong evidence form development settings suggesting that cash transfers can improve the uptake in priority health services and some evidence that conditional cash transfers might be better suited to do so. However, the evidence base for humanitarian settings remains weak and operational experience remain</w:t>
      </w:r>
      <w:r w:rsidR="007F0C70">
        <w:rPr>
          <w:lang w:val="en-GB"/>
        </w:rPr>
        <w:t>s</w:t>
      </w:r>
      <w:r w:rsidRPr="00BA41E1">
        <w:rPr>
          <w:lang w:val="en-GB"/>
        </w:rPr>
        <w:t xml:space="preserve"> scarce. </w:t>
      </w:r>
      <w:r w:rsidR="00427610" w:rsidRPr="00BA41E1">
        <w:rPr>
          <w:lang w:val="en-GB"/>
        </w:rPr>
        <w:t>Nevertheless, the learning from Nigeria is encouraging and showcases different approaches to conditionality</w:t>
      </w:r>
      <w:r w:rsidR="009A02F1" w:rsidRPr="00BA41E1">
        <w:rPr>
          <w:lang w:val="en-GB"/>
        </w:rPr>
        <w:t xml:space="preserve"> and positive results on improving attendance</w:t>
      </w:r>
      <w:r w:rsidR="001664C0">
        <w:rPr>
          <w:lang w:val="en-GB"/>
        </w:rPr>
        <w:t xml:space="preserve"> to health services</w:t>
      </w:r>
      <w:r w:rsidR="00427610" w:rsidRPr="00BA41E1">
        <w:rPr>
          <w:lang w:val="en-GB"/>
        </w:rPr>
        <w:t xml:space="preserve">. </w:t>
      </w:r>
    </w:p>
    <w:p w14:paraId="1BA83774" w14:textId="5E52C2CA" w:rsidR="006A7C59" w:rsidRPr="00BA41E1" w:rsidRDefault="00F8056B" w:rsidP="00566ABA">
      <w:pPr>
        <w:jc w:val="both"/>
        <w:rPr>
          <w:lang w:val="en-GB"/>
        </w:rPr>
      </w:pPr>
      <w:r w:rsidRPr="00BA41E1">
        <w:rPr>
          <w:lang w:val="en-GB"/>
        </w:rPr>
        <w:t xml:space="preserve">A consortium including AAH, WFP and UNICEF implemented the Integrated Nutrition Programme </w:t>
      </w:r>
      <w:r w:rsidR="00B55454" w:rsidRPr="00BA41E1">
        <w:rPr>
          <w:lang w:val="en-GB"/>
        </w:rPr>
        <w:t xml:space="preserve">plus </w:t>
      </w:r>
      <w:r w:rsidRPr="00BA41E1">
        <w:rPr>
          <w:lang w:val="en-GB"/>
        </w:rPr>
        <w:t>(INP</w:t>
      </w:r>
      <w:r w:rsidR="00B55454" w:rsidRPr="00BA41E1">
        <w:rPr>
          <w:lang w:val="en-GB"/>
        </w:rPr>
        <w:t>+</w:t>
      </w:r>
      <w:r w:rsidRPr="00BA41E1">
        <w:rPr>
          <w:lang w:val="en-GB"/>
        </w:rPr>
        <w:t xml:space="preserve">) from 2017 to 2019 in Borno and Yobe states. The project </w:t>
      </w:r>
      <w:r w:rsidR="006A7C59" w:rsidRPr="00BA41E1">
        <w:rPr>
          <w:lang w:val="en-GB"/>
        </w:rPr>
        <w:t>included a whole range of nutrition sensitive and specific interventions</w:t>
      </w:r>
      <w:r w:rsidR="007D441A" w:rsidRPr="00BA41E1">
        <w:rPr>
          <w:lang w:val="en-GB"/>
        </w:rPr>
        <w:t xml:space="preserve">, including maternal dietary supplementation, micronutrient supplementation, breastfeeding and complementary feeding promotion, dietary supplementation for children, </w:t>
      </w:r>
      <w:r w:rsidR="00971C05">
        <w:rPr>
          <w:lang w:val="en-GB"/>
        </w:rPr>
        <w:t>community management of acute malnutrition (</w:t>
      </w:r>
      <w:r w:rsidR="007D441A" w:rsidRPr="00BA41E1">
        <w:rPr>
          <w:lang w:val="en-GB"/>
        </w:rPr>
        <w:t>CMAM</w:t>
      </w:r>
      <w:r w:rsidR="00971C05">
        <w:rPr>
          <w:lang w:val="en-GB"/>
        </w:rPr>
        <w:t>)</w:t>
      </w:r>
      <w:r w:rsidR="007D441A" w:rsidRPr="00BA41E1">
        <w:rPr>
          <w:lang w:val="en-GB"/>
        </w:rPr>
        <w:t>, Long Lasting Insecticide–treated Nets (LLIN) distribution, and cash transfers</w:t>
      </w:r>
      <w:r w:rsidR="006A7C59" w:rsidRPr="00BA41E1">
        <w:rPr>
          <w:lang w:val="en-GB"/>
        </w:rPr>
        <w:t>. The cash component provided a conditional cash transfer of NGN 5,000 per month to cover the additional nutritional requirements of PLWs</w:t>
      </w:r>
      <w:r w:rsidR="00FE6519" w:rsidRPr="00BA41E1">
        <w:rPr>
          <w:lang w:val="en-GB"/>
        </w:rPr>
        <w:t xml:space="preserve"> and the children during </w:t>
      </w:r>
      <w:r w:rsidR="001D1E20" w:rsidRPr="00BA41E1">
        <w:rPr>
          <w:lang w:val="en-GB"/>
        </w:rPr>
        <w:t>pregnancy and until the child turns two (</w:t>
      </w:r>
      <w:r w:rsidR="00FE6519" w:rsidRPr="00BA41E1">
        <w:rPr>
          <w:lang w:val="en-GB"/>
        </w:rPr>
        <w:t>first 1000 days</w:t>
      </w:r>
      <w:r w:rsidR="001D1E20" w:rsidRPr="00BA41E1">
        <w:rPr>
          <w:lang w:val="en-GB"/>
        </w:rPr>
        <w:t xml:space="preserve"> window of opportunity)</w:t>
      </w:r>
      <w:r w:rsidR="006A7C59" w:rsidRPr="00BA41E1">
        <w:rPr>
          <w:lang w:val="en-GB"/>
        </w:rPr>
        <w:t>. The assistance was conditional</w:t>
      </w:r>
      <w:r w:rsidR="00A07591">
        <w:rPr>
          <w:lang w:val="en-GB"/>
        </w:rPr>
        <w:t xml:space="preserve"> on the initial enrolment at the health centre. Once enrolled, PLWs were actively encouraged to </w:t>
      </w:r>
      <w:r w:rsidR="00FE6519" w:rsidRPr="00BA41E1">
        <w:rPr>
          <w:lang w:val="en-GB"/>
        </w:rPr>
        <w:t>access health services, such as antenatal care or vaccinations</w:t>
      </w:r>
      <w:r w:rsidR="00A07591">
        <w:rPr>
          <w:lang w:val="en-GB"/>
        </w:rPr>
        <w:t>, and their attendance was monitored (‘soft conditionality’</w:t>
      </w:r>
      <w:r w:rsidR="00A07591">
        <w:rPr>
          <w:rStyle w:val="FootnoteReference"/>
          <w:lang w:val="en-GB"/>
        </w:rPr>
        <w:footnoteReference w:id="9"/>
      </w:r>
      <w:r w:rsidR="00A07591">
        <w:rPr>
          <w:lang w:val="en-GB"/>
        </w:rPr>
        <w:t>)</w:t>
      </w:r>
      <w:r w:rsidR="00FE6519" w:rsidRPr="00BA41E1">
        <w:rPr>
          <w:lang w:val="en-GB"/>
        </w:rPr>
        <w:t xml:space="preserve">. </w:t>
      </w:r>
      <w:r w:rsidR="001D1E20" w:rsidRPr="00BA41E1">
        <w:rPr>
          <w:lang w:val="en-GB"/>
        </w:rPr>
        <w:t>PLWs were also referred to mother to mother support groups during their enrolment</w:t>
      </w:r>
      <w:r w:rsidR="00A07591">
        <w:rPr>
          <w:lang w:val="en-GB"/>
        </w:rPr>
        <w:t xml:space="preserve"> and actively encouraged to participate in SBC sessions (‘soft conditionality’)</w:t>
      </w:r>
      <w:r w:rsidR="001D1E20" w:rsidRPr="00BA41E1">
        <w:rPr>
          <w:lang w:val="en-GB"/>
        </w:rPr>
        <w:t xml:space="preserve">. </w:t>
      </w:r>
      <w:r w:rsidR="006A7C59" w:rsidRPr="00BA41E1">
        <w:rPr>
          <w:lang w:val="en-GB"/>
        </w:rPr>
        <w:t>The project led to a significant uptake of ANC visits and immunizations</w:t>
      </w:r>
      <w:r w:rsidR="00FE6519" w:rsidRPr="00BA41E1">
        <w:rPr>
          <w:lang w:val="en-GB"/>
        </w:rPr>
        <w:t xml:space="preserve"> and improvements in the dietary diversity of PLWs and children.</w:t>
      </w:r>
    </w:p>
    <w:p w14:paraId="761D7150" w14:textId="57B1A3F4" w:rsidR="00F77AA3" w:rsidRPr="00BA41E1" w:rsidRDefault="00884986" w:rsidP="00566ABA">
      <w:pPr>
        <w:jc w:val="both"/>
        <w:rPr>
          <w:lang w:val="en-GB"/>
        </w:rPr>
      </w:pPr>
      <w:r w:rsidRPr="00BA41E1">
        <w:rPr>
          <w:lang w:val="en-GB"/>
        </w:rPr>
        <w:t xml:space="preserve">The INP+ multisectoral pilots implemented in </w:t>
      </w:r>
      <w:r w:rsidR="00EA5DD4" w:rsidRPr="00BA41E1">
        <w:rPr>
          <w:lang w:val="en-GB"/>
        </w:rPr>
        <w:t xml:space="preserve">Shani and Nagere </w:t>
      </w:r>
      <w:r w:rsidR="00971C05">
        <w:rPr>
          <w:lang w:val="en-GB"/>
        </w:rPr>
        <w:t>local government area (</w:t>
      </w:r>
      <w:r w:rsidRPr="00BA41E1">
        <w:rPr>
          <w:lang w:val="en-GB"/>
        </w:rPr>
        <w:t>LGA</w:t>
      </w:r>
      <w:r w:rsidR="00971C05">
        <w:rPr>
          <w:lang w:val="en-GB"/>
        </w:rPr>
        <w:t>)</w:t>
      </w:r>
      <w:r w:rsidRPr="00BA41E1">
        <w:rPr>
          <w:lang w:val="en-GB"/>
        </w:rPr>
        <w:t xml:space="preserve"> from July 2017 to March 2019 adopted a similar approach as the INP+ but included additional sectoral interventions such as </w:t>
      </w:r>
      <w:r w:rsidR="00EA5DD4" w:rsidRPr="00BA41E1">
        <w:rPr>
          <w:lang w:val="en-GB"/>
        </w:rPr>
        <w:t>WASH support and livelihood support for PLWs</w:t>
      </w:r>
      <w:r w:rsidRPr="00BA41E1">
        <w:rPr>
          <w:lang w:val="en-GB"/>
        </w:rPr>
        <w:t xml:space="preserve">. </w:t>
      </w:r>
      <w:r w:rsidR="007D441A" w:rsidRPr="00BA41E1">
        <w:rPr>
          <w:lang w:val="en-GB"/>
        </w:rPr>
        <w:t xml:space="preserve">The midline surveys </w:t>
      </w:r>
      <w:r w:rsidR="00FD2E08" w:rsidRPr="00BA41E1">
        <w:rPr>
          <w:lang w:val="en-GB"/>
        </w:rPr>
        <w:t>conducted</w:t>
      </w:r>
      <w:r w:rsidR="007D441A" w:rsidRPr="00BA41E1">
        <w:rPr>
          <w:lang w:val="en-GB"/>
        </w:rPr>
        <w:t xml:space="preserve"> in </w:t>
      </w:r>
      <w:r w:rsidR="001664C0">
        <w:rPr>
          <w:lang w:val="en-GB"/>
        </w:rPr>
        <w:t>2018</w:t>
      </w:r>
      <w:r w:rsidR="007D441A" w:rsidRPr="00BA41E1">
        <w:rPr>
          <w:lang w:val="en-GB"/>
        </w:rPr>
        <w:t xml:space="preserve"> show that over about one-year duration of implementation of multi-sectoral interventions (comparing with the baseline), indicators such as under-five mortality rate, exclusive breastfeeding, minimum dietary diversity and minimum acceptable diet for children, household dietary diversity and access to safe and clean water supply improved across the surveyed LGAs. </w:t>
      </w:r>
      <w:r w:rsidR="00FD2E08" w:rsidRPr="00BA41E1">
        <w:rPr>
          <w:lang w:val="en-GB"/>
        </w:rPr>
        <w:t>The conditional cash component seem</w:t>
      </w:r>
      <w:r w:rsidR="001664C0">
        <w:rPr>
          <w:lang w:val="en-GB"/>
        </w:rPr>
        <w:t>ed</w:t>
      </w:r>
      <w:r w:rsidR="00FD2E08" w:rsidRPr="00BA41E1">
        <w:rPr>
          <w:lang w:val="en-GB"/>
        </w:rPr>
        <w:t xml:space="preserve"> to have increased ante-natal care attendance, which resulted into the increase in the proportion of women who received Iron and folate supplementation in pregnancy. </w:t>
      </w:r>
    </w:p>
    <w:p w14:paraId="3FD55D4D" w14:textId="53DAA461" w:rsidR="00644D5C" w:rsidRPr="00BA41E1" w:rsidRDefault="008C2D01" w:rsidP="00566ABA">
      <w:pPr>
        <w:jc w:val="both"/>
        <w:rPr>
          <w:lang w:val="en-GB"/>
        </w:rPr>
      </w:pPr>
      <w:r w:rsidRPr="00BA41E1">
        <w:rPr>
          <w:lang w:val="en-GB"/>
        </w:rPr>
        <w:t>The midline survey further found that s</w:t>
      </w:r>
      <w:r w:rsidR="00E279CB" w:rsidRPr="00BA41E1">
        <w:rPr>
          <w:lang w:val="en-GB"/>
        </w:rPr>
        <w:t xml:space="preserve">tunting improved across board irrespective of whether the LGA is an intervention site or not. </w:t>
      </w:r>
      <w:r w:rsidR="007D441A" w:rsidRPr="00BA41E1">
        <w:rPr>
          <w:lang w:val="en-GB"/>
        </w:rPr>
        <w:t>Population-based anthropometric measurements (GAM) for children aged 0 – 59 months across the interventions LGAs appear not to have improved</w:t>
      </w:r>
      <w:r w:rsidR="007D441A" w:rsidRPr="00BA41E1">
        <w:rPr>
          <w:rStyle w:val="FootnoteReference"/>
          <w:lang w:val="en-GB"/>
        </w:rPr>
        <w:footnoteReference w:id="10"/>
      </w:r>
      <w:r w:rsidR="007D441A" w:rsidRPr="00BA41E1">
        <w:rPr>
          <w:lang w:val="en-GB"/>
        </w:rPr>
        <w:t>.</w:t>
      </w:r>
      <w:r w:rsidR="00644D5C" w:rsidRPr="00BA41E1">
        <w:rPr>
          <w:lang w:val="en-GB"/>
        </w:rPr>
        <w:t xml:space="preserve"> In terms of negative consequences, some participants in </w:t>
      </w:r>
      <w:r w:rsidR="004256EB">
        <w:rPr>
          <w:lang w:val="en-GB"/>
        </w:rPr>
        <w:t>focus group discussions</w:t>
      </w:r>
      <w:r w:rsidR="00644D5C" w:rsidRPr="00BA41E1">
        <w:rPr>
          <w:lang w:val="en-GB"/>
        </w:rPr>
        <w:t xml:space="preserve"> (which were conducted as part of the mid-term survey) stated that the cash assistance causes disharmony in the family at the initial period of implementation especially in Nangere LGA, because their wives suddenly became rich and resisted sharing the money with them.</w:t>
      </w:r>
    </w:p>
    <w:p w14:paraId="50727DB0" w14:textId="5568A4BE" w:rsidR="001C62D0" w:rsidRPr="00BA41E1" w:rsidRDefault="002C0036" w:rsidP="001C62D0">
      <w:pPr>
        <w:jc w:val="both"/>
        <w:rPr>
          <w:rFonts w:eastAsia="Times New Roman"/>
          <w:lang w:val="en-GB"/>
        </w:rPr>
      </w:pPr>
      <w:r w:rsidRPr="00BA41E1">
        <w:rPr>
          <w:lang w:val="en-GB"/>
        </w:rPr>
        <w:t>As a follow-up project</w:t>
      </w:r>
      <w:r w:rsidR="007814C5" w:rsidRPr="00BA41E1">
        <w:rPr>
          <w:lang w:val="en-GB"/>
        </w:rPr>
        <w:t xml:space="preserve"> to INP+</w:t>
      </w:r>
      <w:r w:rsidR="004B2794" w:rsidRPr="00BA41E1">
        <w:rPr>
          <w:lang w:val="en-GB"/>
        </w:rPr>
        <w:t xml:space="preserve">, WFP has been implementing the multi-sectoral programme (MSP) since </w:t>
      </w:r>
      <w:r w:rsidR="007814C5" w:rsidRPr="00BA41E1">
        <w:rPr>
          <w:lang w:val="en-GB"/>
        </w:rPr>
        <w:t>2019</w:t>
      </w:r>
      <w:r w:rsidR="004B2794" w:rsidRPr="00BA41E1">
        <w:rPr>
          <w:lang w:val="en-GB"/>
        </w:rPr>
        <w:t xml:space="preserve">. </w:t>
      </w:r>
      <w:r w:rsidR="007814C5" w:rsidRPr="00BA41E1">
        <w:rPr>
          <w:lang w:val="en-GB"/>
        </w:rPr>
        <w:t xml:space="preserve">As in the INP+, the MSP is providing cash transfers of NGN 5,000 to PLWs conditionally on their enrolment at a health centre for antenatal care. At the same time, the PLWs are enrolled in mother to mother support groups, where they receive </w:t>
      </w:r>
      <w:r w:rsidR="001C62D0" w:rsidRPr="00BA41E1">
        <w:rPr>
          <w:lang w:val="en-GB"/>
        </w:rPr>
        <w:t>counselling</w:t>
      </w:r>
      <w:r w:rsidR="007814C5" w:rsidRPr="00BA41E1">
        <w:rPr>
          <w:lang w:val="en-GB"/>
        </w:rPr>
        <w:t xml:space="preserve"> on maternal and child nutrition and IYCF practices. </w:t>
      </w:r>
      <w:r w:rsidR="001C62D0" w:rsidRPr="00BA41E1">
        <w:rPr>
          <w:lang w:val="en-GB"/>
        </w:rPr>
        <w:t>According to WFP internal learning, the conditional c</w:t>
      </w:r>
      <w:r w:rsidR="001C62D0" w:rsidRPr="00BA41E1">
        <w:rPr>
          <w:rFonts w:eastAsia="Times New Roman"/>
          <w:lang w:val="en-GB"/>
        </w:rPr>
        <w:t xml:space="preserve">ash assistance has increased uptake and utilization of basic health care services. The enrolment of PLWs at the health centres seem to positively impact health seeking following the enrolment. </w:t>
      </w:r>
      <w:r w:rsidR="00427EF0" w:rsidRPr="00BA41E1">
        <w:rPr>
          <w:rFonts w:eastAsia="Times New Roman"/>
          <w:lang w:val="en-GB"/>
        </w:rPr>
        <w:t>Also, the enrolment in mother to mother support groups and active encouragement of PLWs’ participation in these groups (soft conditionality) significantly improve</w:t>
      </w:r>
      <w:r w:rsidR="001664C0">
        <w:rPr>
          <w:rFonts w:eastAsia="Times New Roman"/>
          <w:lang w:val="en-GB"/>
        </w:rPr>
        <w:t>d</w:t>
      </w:r>
      <w:r w:rsidR="00427EF0" w:rsidRPr="00BA41E1">
        <w:rPr>
          <w:rFonts w:eastAsia="Times New Roman"/>
          <w:lang w:val="en-GB"/>
        </w:rPr>
        <w:t xml:space="preserve"> the participation of women in the health/nutrition education session at the community level.</w:t>
      </w:r>
    </w:p>
    <w:p w14:paraId="56F5B836" w14:textId="77777777" w:rsidR="001C62D0" w:rsidRPr="00BA41E1" w:rsidRDefault="001C62D0" w:rsidP="001C62D0">
      <w:pPr>
        <w:jc w:val="both"/>
        <w:rPr>
          <w:lang w:val="en-GB"/>
        </w:rPr>
      </w:pPr>
    </w:p>
    <w:p w14:paraId="2C262CF6" w14:textId="31D344C0" w:rsidR="00EE5317" w:rsidRPr="00BA41E1" w:rsidRDefault="009B5AF2" w:rsidP="00566ABA">
      <w:pPr>
        <w:pStyle w:val="Heading2"/>
        <w:jc w:val="both"/>
        <w:rPr>
          <w:lang w:val="en-GB"/>
        </w:rPr>
      </w:pPr>
      <w:bookmarkStart w:id="6" w:name="_Toc41558464"/>
      <w:r w:rsidRPr="00BA41E1">
        <w:rPr>
          <w:lang w:val="en-GB"/>
        </w:rPr>
        <w:t xml:space="preserve">Provide general household CVA to caregivers who access </w:t>
      </w:r>
      <w:r w:rsidR="00946526" w:rsidRPr="00BA41E1">
        <w:rPr>
          <w:lang w:val="en-GB"/>
        </w:rPr>
        <w:t xml:space="preserve">SAM </w:t>
      </w:r>
      <w:r w:rsidRPr="00BA41E1">
        <w:rPr>
          <w:lang w:val="en-GB"/>
        </w:rPr>
        <w:t>treatment</w:t>
      </w:r>
      <w:bookmarkEnd w:id="6"/>
    </w:p>
    <w:p w14:paraId="146F0B7C" w14:textId="137DD273" w:rsidR="00766C6B" w:rsidRPr="00BA41E1" w:rsidRDefault="00946526" w:rsidP="00566ABA">
      <w:pPr>
        <w:jc w:val="both"/>
        <w:rPr>
          <w:lang w:val="en-GB"/>
        </w:rPr>
      </w:pPr>
      <w:r w:rsidRPr="00BA41E1">
        <w:rPr>
          <w:lang w:val="en-GB"/>
        </w:rPr>
        <w:t>P</w:t>
      </w:r>
      <w:r w:rsidR="00205743" w:rsidRPr="00BA41E1">
        <w:rPr>
          <w:lang w:val="en-GB"/>
        </w:rPr>
        <w:t>roviding CVA to parents who bring their malnourished children for treatment at health/stabilization centres is a controversial approach among humanitarian practitioners and nutritionists,  the common argument being that cash transfers tied to the nutrition status of children might incentivise caregivers to make or keep their children (or at least one of them) undernourished</w:t>
      </w:r>
      <w:r w:rsidR="007F0C70">
        <w:rPr>
          <w:rStyle w:val="FootnoteReference"/>
          <w:lang w:val="en-GB"/>
        </w:rPr>
        <w:footnoteReference w:id="11"/>
      </w:r>
      <w:r w:rsidR="00205743" w:rsidRPr="00BA41E1">
        <w:rPr>
          <w:lang w:val="en-GB"/>
        </w:rPr>
        <w:t xml:space="preserve">. </w:t>
      </w:r>
    </w:p>
    <w:p w14:paraId="0E1BF8A2" w14:textId="24B49194" w:rsidR="008A5D11" w:rsidRPr="00BA41E1" w:rsidRDefault="00205743" w:rsidP="00566ABA">
      <w:pPr>
        <w:jc w:val="both"/>
        <w:rPr>
          <w:lang w:val="en-GB"/>
        </w:rPr>
      </w:pPr>
      <w:r w:rsidRPr="00BA41E1">
        <w:rPr>
          <w:lang w:val="en-GB"/>
        </w:rPr>
        <w:t xml:space="preserve">In Nigeria, </w:t>
      </w:r>
      <w:r w:rsidR="001664C0">
        <w:rPr>
          <w:lang w:val="en-GB"/>
        </w:rPr>
        <w:t>AAH</w:t>
      </w:r>
      <w:r w:rsidR="00E02239" w:rsidRPr="00BA41E1">
        <w:rPr>
          <w:lang w:val="en-GB"/>
        </w:rPr>
        <w:t xml:space="preserve">, UNICEF and </w:t>
      </w:r>
      <w:r w:rsidR="00E14A5D" w:rsidRPr="00BA41E1">
        <w:rPr>
          <w:lang w:val="en-GB"/>
        </w:rPr>
        <w:t>WFP implemented</w:t>
      </w:r>
      <w:r w:rsidR="00E02239" w:rsidRPr="00BA41E1">
        <w:rPr>
          <w:lang w:val="en-GB"/>
        </w:rPr>
        <w:t xml:space="preserve"> the integrated basic nutrition programme (INP) from 2016 to 2017, providing financial support to caregivers of children who were admitted with SAM for treatment. The programme aimed to address underlying financial causes of child malnutrition and mitigate the risk of relapse. Households were registered on a continuous basis over the course of one year and were provided with monthly cash assistance for 6 months following enrolment. The transfer amount of approximately NGN 20,000 was based on the cost of the minimum food basket for a household.</w:t>
      </w:r>
    </w:p>
    <w:p w14:paraId="722DD0B8" w14:textId="3FB930AC" w:rsidR="00E02239" w:rsidRPr="00BA41E1" w:rsidRDefault="00E02239" w:rsidP="00566ABA">
      <w:pPr>
        <w:jc w:val="both"/>
        <w:rPr>
          <w:lang w:val="en-GB"/>
        </w:rPr>
      </w:pPr>
      <w:r w:rsidRPr="00BA41E1">
        <w:rPr>
          <w:lang w:val="en-GB"/>
        </w:rPr>
        <w:t xml:space="preserve">The programme seems to have contributed to several negative unintended consequences: both health workers and programme staff reportedly accepted bribes to enrol children who did not meet the criteria. There were rumours that services were sometimes denied to children whose caregivers could not pay.  Based on these experiences, </w:t>
      </w:r>
      <w:r w:rsidR="001664C0">
        <w:rPr>
          <w:lang w:val="en-GB"/>
        </w:rPr>
        <w:t>AAH</w:t>
      </w:r>
      <w:r w:rsidRPr="00BA41E1">
        <w:rPr>
          <w:lang w:val="en-GB"/>
        </w:rPr>
        <w:t xml:space="preserve"> suggests the following lessons: 1) to avoid using nutrition status as targeting criteria; 2) to systematically ensure independent verification of household eligibility; 3) to determine a contextually appropriate transfer amount; and 4) to ensure sufficient internal controls including monitoring and accountability systems are available for communities to share anonymous feedback</w:t>
      </w:r>
      <w:r w:rsidR="007F0C70">
        <w:rPr>
          <w:rStyle w:val="FootnoteReference"/>
          <w:lang w:val="en-GB"/>
        </w:rPr>
        <w:footnoteReference w:id="12"/>
      </w:r>
      <w:r w:rsidRPr="00BA41E1">
        <w:rPr>
          <w:lang w:val="en-GB"/>
        </w:rPr>
        <w:t>.  Based on these learnings</w:t>
      </w:r>
      <w:r w:rsidR="0096253F">
        <w:rPr>
          <w:lang w:val="en-GB"/>
        </w:rPr>
        <w:t xml:space="preserve"> and thanks to more sustained donor funding opportunities</w:t>
      </w:r>
      <w:r w:rsidRPr="00BA41E1">
        <w:rPr>
          <w:lang w:val="en-GB"/>
        </w:rPr>
        <w:t xml:space="preserve">, the organizations decided to shift towards a </w:t>
      </w:r>
      <w:r w:rsidR="0096253F">
        <w:rPr>
          <w:lang w:val="en-GB"/>
        </w:rPr>
        <w:t>preventative</w:t>
      </w:r>
      <w:r w:rsidRPr="00BA41E1">
        <w:rPr>
          <w:lang w:val="en-GB"/>
        </w:rPr>
        <w:t xml:space="preserve"> approach, which resulted in the INP+ approach.</w:t>
      </w:r>
    </w:p>
    <w:p w14:paraId="60E3E8AD" w14:textId="0F695748" w:rsidR="00205743" w:rsidRPr="00BA41E1" w:rsidRDefault="00E02239" w:rsidP="00566ABA">
      <w:pPr>
        <w:jc w:val="both"/>
        <w:rPr>
          <w:lang w:val="en-GB"/>
        </w:rPr>
      </w:pPr>
      <w:r w:rsidRPr="00BA41E1">
        <w:rPr>
          <w:lang w:val="en-GB"/>
        </w:rPr>
        <w:t xml:space="preserve">There </w:t>
      </w:r>
      <w:r w:rsidR="00205743" w:rsidRPr="00BA41E1">
        <w:rPr>
          <w:lang w:val="en-GB"/>
        </w:rPr>
        <w:t>are currently no organisations that are using this approach in Nigeria. The INP experience was rather sobering from a protection perspective. Experiences in other contexts have been a bit more promising</w:t>
      </w:r>
      <w:r w:rsidR="00420DA7">
        <w:rPr>
          <w:rStyle w:val="FootnoteReference"/>
          <w:lang w:val="en-GB"/>
        </w:rPr>
        <w:footnoteReference w:id="13"/>
      </w:r>
      <w:r w:rsidR="00205743" w:rsidRPr="00BA41E1">
        <w:rPr>
          <w:lang w:val="en-GB"/>
        </w:rPr>
        <w:t>. Nevertheless, from existing limited peer-reviewed and operational evidence, it is hard to come to a clear verdict on coupling cash transfers with SAM treatment</w:t>
      </w:r>
      <w:r w:rsidR="007F0C70">
        <w:rPr>
          <w:rStyle w:val="FootnoteReference"/>
          <w:lang w:val="en-GB"/>
        </w:rPr>
        <w:footnoteReference w:id="14"/>
      </w:r>
      <w:r w:rsidR="00205743" w:rsidRPr="00BA41E1">
        <w:rPr>
          <w:lang w:val="en-GB"/>
        </w:rPr>
        <w:t xml:space="preserve"> (GNC, 2020).</w:t>
      </w:r>
    </w:p>
    <w:p w14:paraId="0C949CEE" w14:textId="222F00A3" w:rsidR="0010416A" w:rsidRPr="00BA41E1" w:rsidRDefault="0010416A" w:rsidP="00566ABA">
      <w:pPr>
        <w:jc w:val="both"/>
        <w:rPr>
          <w:lang w:val="en-GB"/>
        </w:rPr>
      </w:pPr>
    </w:p>
    <w:p w14:paraId="27C79DD5" w14:textId="226F6377" w:rsidR="00613091" w:rsidRPr="00BA41E1" w:rsidRDefault="00613091" w:rsidP="00E14A5D">
      <w:pPr>
        <w:pStyle w:val="Heading1"/>
        <w:rPr>
          <w:lang w:val="en-GB"/>
        </w:rPr>
      </w:pPr>
      <w:bookmarkStart w:id="7" w:name="_Toc41558465"/>
      <w:r w:rsidRPr="00BA41E1">
        <w:rPr>
          <w:lang w:val="en-GB"/>
        </w:rPr>
        <w:t>Cash transfers in Nigeria</w:t>
      </w:r>
      <w:bookmarkEnd w:id="7"/>
    </w:p>
    <w:p w14:paraId="225FC245" w14:textId="0E619A05" w:rsidR="0026216E" w:rsidRPr="00BA41E1" w:rsidRDefault="0054181B" w:rsidP="0026216E">
      <w:pPr>
        <w:jc w:val="both"/>
        <w:rPr>
          <w:lang w:val="en-GB"/>
        </w:rPr>
      </w:pPr>
      <w:r w:rsidRPr="00BA41E1">
        <w:rPr>
          <w:lang w:val="en-GB"/>
        </w:rPr>
        <w:t xml:space="preserve">The use of CVA has been expanding rapidly in Nigeria over the past years. </w:t>
      </w:r>
      <w:r w:rsidR="0026216E" w:rsidRPr="00BA41E1">
        <w:rPr>
          <w:lang w:val="en-GB"/>
        </w:rPr>
        <w:t>T</w:t>
      </w:r>
      <w:r w:rsidRPr="00BA41E1">
        <w:rPr>
          <w:lang w:val="en-GB"/>
        </w:rPr>
        <w:t xml:space="preserve">he </w:t>
      </w:r>
      <w:r w:rsidR="0026216E" w:rsidRPr="00BA41E1">
        <w:rPr>
          <w:lang w:val="en-GB"/>
        </w:rPr>
        <w:t>financial</w:t>
      </w:r>
      <w:r w:rsidRPr="00BA41E1">
        <w:rPr>
          <w:lang w:val="en-GB"/>
        </w:rPr>
        <w:t xml:space="preserve"> requirement for CVA </w:t>
      </w:r>
      <w:r w:rsidR="0026216E" w:rsidRPr="00BA41E1">
        <w:rPr>
          <w:lang w:val="en-GB"/>
        </w:rPr>
        <w:t>rose from</w:t>
      </w:r>
      <w:r w:rsidRPr="00BA41E1">
        <w:rPr>
          <w:lang w:val="en-GB"/>
        </w:rPr>
        <w:t xml:space="preserve"> </w:t>
      </w:r>
      <w:r w:rsidR="0026216E" w:rsidRPr="00BA41E1">
        <w:rPr>
          <w:lang w:val="en-GB"/>
        </w:rPr>
        <w:t xml:space="preserve">$22.3 Million (out of 248 million in total) in </w:t>
      </w:r>
      <w:r w:rsidRPr="00BA41E1">
        <w:rPr>
          <w:lang w:val="en-GB"/>
        </w:rPr>
        <w:t>201</w:t>
      </w:r>
      <w:r w:rsidR="0026216E" w:rsidRPr="00BA41E1">
        <w:rPr>
          <w:lang w:val="en-GB"/>
        </w:rPr>
        <w:t>6 to $473 Million (out of 869 million in total) in 2020. In the 2020 HRP, 86 out of a total of 264 projects have a CVA component. The majority of projects are in the food security and early recovery / livelihoods sector</w:t>
      </w:r>
      <w:r w:rsidR="00AA2430" w:rsidRPr="00BA41E1">
        <w:rPr>
          <w:lang w:val="en-GB"/>
        </w:rPr>
        <w:t xml:space="preserve"> and an increasing number of </w:t>
      </w:r>
      <w:r w:rsidR="00877D32" w:rsidRPr="00BA41E1">
        <w:rPr>
          <w:lang w:val="en-GB"/>
        </w:rPr>
        <w:t>projects</w:t>
      </w:r>
      <w:r w:rsidR="00AA2430" w:rsidRPr="00BA41E1">
        <w:rPr>
          <w:lang w:val="en-GB"/>
        </w:rPr>
        <w:t xml:space="preserve"> are considered as multi-purpose cash</w:t>
      </w:r>
      <w:r w:rsidR="00F075FB">
        <w:rPr>
          <w:lang w:val="en-GB"/>
        </w:rPr>
        <w:t xml:space="preserve"> transfers</w:t>
      </w:r>
      <w:r w:rsidR="00877D32">
        <w:rPr>
          <w:rStyle w:val="FootnoteReference"/>
          <w:lang w:val="en-GB"/>
        </w:rPr>
        <w:footnoteReference w:id="15"/>
      </w:r>
      <w:r w:rsidR="00AA2430" w:rsidRPr="00BA41E1">
        <w:rPr>
          <w:lang w:val="en-GB"/>
        </w:rPr>
        <w:t xml:space="preserve">. </w:t>
      </w:r>
    </w:p>
    <w:p w14:paraId="756D8ACB" w14:textId="38ED2259" w:rsidR="006F6D87" w:rsidRPr="00BA41E1" w:rsidRDefault="00AA2430" w:rsidP="0026216E">
      <w:pPr>
        <w:jc w:val="both"/>
        <w:rPr>
          <w:lang w:val="en-GB"/>
        </w:rPr>
      </w:pPr>
      <w:r w:rsidRPr="00BA41E1">
        <w:rPr>
          <w:lang w:val="en-GB"/>
        </w:rPr>
        <w:t xml:space="preserve">The Nigeria Cash Working Group has devised a </w:t>
      </w:r>
      <w:r w:rsidR="006F6D87" w:rsidRPr="00BA41E1">
        <w:rPr>
          <w:lang w:val="en-GB"/>
        </w:rPr>
        <w:t>collaborative</w:t>
      </w:r>
      <w:r w:rsidRPr="00BA41E1">
        <w:rPr>
          <w:lang w:val="en-GB"/>
        </w:rPr>
        <w:t xml:space="preserve"> model for MPC in North-East Nigeria. </w:t>
      </w:r>
      <w:r w:rsidR="006F6D87" w:rsidRPr="00BA41E1">
        <w:rPr>
          <w:lang w:val="en-GB"/>
        </w:rPr>
        <w:t>The model proposes a harmonization of program</w:t>
      </w:r>
      <w:r w:rsidR="00F075FB">
        <w:rPr>
          <w:lang w:val="en-GB"/>
        </w:rPr>
        <w:t xml:space="preserve">me </w:t>
      </w:r>
      <w:r w:rsidR="006F6D87" w:rsidRPr="00BA41E1">
        <w:rPr>
          <w:lang w:val="en-GB"/>
        </w:rPr>
        <w:t xml:space="preserve">design and common tools: program objective, targeting criteria, outcome indicators, MEB design, transfer value alignment, price monitoring, joint PDM mechanisms, and other collaborative actions. </w:t>
      </w:r>
      <w:r w:rsidR="007541BA" w:rsidRPr="00BA41E1">
        <w:rPr>
          <w:lang w:val="en-GB"/>
        </w:rPr>
        <w:t>For more information, please see the document ‘Multi-Purpose Cash Grant – a collaborative model for North-East Nigeria’.</w:t>
      </w:r>
    </w:p>
    <w:bookmarkStart w:id="8" w:name="_MON_1649071386"/>
    <w:bookmarkEnd w:id="8"/>
    <w:p w14:paraId="70CA7EAF" w14:textId="63192B74" w:rsidR="00D63274" w:rsidRPr="00BA41E1" w:rsidRDefault="00D63274" w:rsidP="0026216E">
      <w:pPr>
        <w:jc w:val="both"/>
        <w:rPr>
          <w:lang w:val="en-GB"/>
        </w:rPr>
      </w:pPr>
      <w:r w:rsidRPr="00BA41E1">
        <w:rPr>
          <w:lang w:val="en-GB"/>
        </w:rPr>
        <w:object w:dxaOrig="1508" w:dyaOrig="984" w14:anchorId="57A4E9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15" o:title=""/>
          </v:shape>
          <o:OLEObject Type="Embed" ProgID="Word.Document.12" ShapeID="_x0000_i1025" DrawAspect="Icon" ObjectID="_1652175679" r:id="rId16">
            <o:FieldCodes>\s</o:FieldCodes>
          </o:OLEObject>
        </w:object>
      </w:r>
    </w:p>
    <w:p w14:paraId="675EDCA3" w14:textId="4FD4E10E" w:rsidR="00AA2430" w:rsidRPr="00BA41E1" w:rsidRDefault="006F6D87" w:rsidP="0026216E">
      <w:pPr>
        <w:jc w:val="both"/>
        <w:rPr>
          <w:lang w:val="en-GB"/>
        </w:rPr>
      </w:pPr>
      <w:r w:rsidRPr="00BA41E1">
        <w:rPr>
          <w:lang w:val="en-GB"/>
        </w:rPr>
        <w:t>The Minimum Expenditure Basket for Nigeria consists of basic food items, condiments and supplements, cooking fuel (charcoal, firewood</w:t>
      </w:r>
      <w:r w:rsidR="009335A7" w:rsidRPr="00BA41E1">
        <w:rPr>
          <w:lang w:val="en-GB"/>
        </w:rPr>
        <w:t>), water</w:t>
      </w:r>
      <w:r w:rsidRPr="00BA41E1">
        <w:rPr>
          <w:lang w:val="en-GB"/>
        </w:rPr>
        <w:t xml:space="preserve">, laundry soap, bathing soap, sanitary pads, transportation, communication. An incidental of 6% is added to cover unexpected needs.  These items are what beneficiaries are likely to consider as most urgent needs and are all available in the local markets. </w:t>
      </w:r>
      <w:r w:rsidR="007541BA" w:rsidRPr="00BA41E1">
        <w:rPr>
          <w:lang w:val="en-GB"/>
        </w:rPr>
        <w:t xml:space="preserve">The MEB adopted the Food Basket developed by the Food Security Sector. While modelling the food basket, several factors where considered including beneficiary preference, availability, and the ease with which households can prepare the items in the food basket compared to availability of fuel. </w:t>
      </w:r>
      <w:r w:rsidRPr="00BA41E1">
        <w:rPr>
          <w:lang w:val="en-GB"/>
        </w:rPr>
        <w:t xml:space="preserve">The transfer amount calculation takes further into account household size and average household income. For more detailed information, please see the document </w:t>
      </w:r>
      <w:r w:rsidR="007541BA" w:rsidRPr="00BA41E1">
        <w:rPr>
          <w:lang w:val="en-GB"/>
        </w:rPr>
        <w:t>‘</w:t>
      </w:r>
      <w:r w:rsidRPr="00BA41E1">
        <w:rPr>
          <w:lang w:val="en-GB"/>
        </w:rPr>
        <w:t xml:space="preserve">Minimum Expenditure Basket for North East Nigeria - Justification and </w:t>
      </w:r>
      <w:r w:rsidR="006C1C46" w:rsidRPr="00BA41E1">
        <w:rPr>
          <w:lang w:val="en-GB"/>
        </w:rPr>
        <w:t>recommendations’</w:t>
      </w:r>
      <w:r w:rsidRPr="00BA41E1">
        <w:rPr>
          <w:lang w:val="en-GB"/>
        </w:rPr>
        <w:t>.</w:t>
      </w:r>
    </w:p>
    <w:p w14:paraId="5B64A125" w14:textId="4676EB94" w:rsidR="00D63274" w:rsidRPr="00BA41E1" w:rsidRDefault="00D63274" w:rsidP="0026216E">
      <w:pPr>
        <w:jc w:val="both"/>
        <w:rPr>
          <w:lang w:val="en-GB"/>
        </w:rPr>
      </w:pPr>
      <w:r w:rsidRPr="00BA41E1">
        <w:rPr>
          <w:lang w:val="en-GB"/>
        </w:rPr>
        <w:object w:dxaOrig="1508" w:dyaOrig="984" w14:anchorId="5B3878F6">
          <v:shape id="_x0000_i1026" type="#_x0000_t75" style="width:75pt;height:49.5pt" o:ole="">
            <v:imagedata r:id="rId17" o:title=""/>
          </v:shape>
          <o:OLEObject Type="Embed" ProgID="AcroExch.Document.DC" ShapeID="_x0000_i1026" DrawAspect="Icon" ObjectID="_1652175680" r:id="rId18"/>
        </w:object>
      </w:r>
    </w:p>
    <w:p w14:paraId="28F2B5D1" w14:textId="77777777" w:rsidR="00F075FB" w:rsidRDefault="006F6D87" w:rsidP="0026216E">
      <w:pPr>
        <w:jc w:val="both"/>
        <w:rPr>
          <w:lang w:val="en-GB"/>
        </w:rPr>
      </w:pPr>
      <w:r w:rsidRPr="00BA41E1">
        <w:rPr>
          <w:lang w:val="en-GB"/>
        </w:rPr>
        <w:t xml:space="preserve">From a nutrition perspective, it is important that an MEB contains locally available food items that satisfy the macro and micro-nutrient requirements of average households as well as specific at-risk groups within households. </w:t>
      </w:r>
      <w:r w:rsidR="009335A7" w:rsidRPr="00BA41E1">
        <w:rPr>
          <w:lang w:val="en-GB"/>
        </w:rPr>
        <w:t>In addition, it is advisable that the MEB contains transportation expenses and health related expenses (related to out-of-pocket payments and other health related expenditure)</w:t>
      </w:r>
      <w:r w:rsidR="00F075FB">
        <w:rPr>
          <w:lang w:val="en-GB"/>
        </w:rPr>
        <w:t xml:space="preserve"> that can facilitate access to health services</w:t>
      </w:r>
      <w:r w:rsidR="009335A7" w:rsidRPr="00BA41E1">
        <w:rPr>
          <w:lang w:val="en-GB"/>
        </w:rPr>
        <w:t xml:space="preserve">. </w:t>
      </w:r>
    </w:p>
    <w:p w14:paraId="47286736" w14:textId="7BC8D678" w:rsidR="00D63274" w:rsidRPr="00BA41E1" w:rsidRDefault="00F075FB" w:rsidP="0026216E">
      <w:pPr>
        <w:jc w:val="both"/>
        <w:rPr>
          <w:lang w:val="en-GB"/>
        </w:rPr>
      </w:pPr>
      <w:r w:rsidRPr="00BA41E1">
        <w:rPr>
          <w:lang w:val="en-GB"/>
        </w:rPr>
        <w:t>Expenditure on transportation and health are both included in the MEB.</w:t>
      </w:r>
      <w:r>
        <w:rPr>
          <w:lang w:val="en-GB"/>
        </w:rPr>
        <w:t xml:space="preserve"> </w:t>
      </w:r>
      <w:r w:rsidR="009335A7" w:rsidRPr="00BA41E1">
        <w:rPr>
          <w:lang w:val="en-GB"/>
        </w:rPr>
        <w:t xml:space="preserve">A short analysis of the food component of the MEB using NutVal reveals that the food basket is able to cover the average calorie requirements (equivalent to kcal 2150), </w:t>
      </w:r>
      <w:r w:rsidR="00C027C5">
        <w:rPr>
          <w:lang w:val="en-GB"/>
        </w:rPr>
        <w:t>but</w:t>
      </w:r>
      <w:r w:rsidR="009335A7" w:rsidRPr="00BA41E1">
        <w:rPr>
          <w:lang w:val="en-GB"/>
        </w:rPr>
        <w:t xml:space="preserve"> is unable to meet the requirements for protein and most micronutrients (vitamins and minerals). </w:t>
      </w:r>
      <w:r w:rsidR="00B714A0" w:rsidRPr="00BA41E1">
        <w:rPr>
          <w:lang w:val="en-GB"/>
        </w:rPr>
        <w:t xml:space="preserve">In fact, the food component of the MEB </w:t>
      </w:r>
      <w:r w:rsidR="00C027C5">
        <w:rPr>
          <w:lang w:val="en-GB"/>
        </w:rPr>
        <w:t>is</w:t>
      </w:r>
      <w:r w:rsidR="00B714A0" w:rsidRPr="00BA41E1">
        <w:rPr>
          <w:lang w:val="en-GB"/>
        </w:rPr>
        <w:t xml:space="preserve"> unable to adequately cover any of the micronutrient requirements apart from Selenium and Vitamin E.</w:t>
      </w:r>
      <w:r w:rsidR="006C1C46" w:rsidRPr="00BA41E1">
        <w:rPr>
          <w:lang w:val="en-GB"/>
        </w:rPr>
        <w:t xml:space="preserve"> For more details, please see the NutVal Nigeria calculation</w:t>
      </w:r>
      <w:r w:rsidR="00CA26E8">
        <w:rPr>
          <w:rStyle w:val="FootnoteReference"/>
          <w:lang w:val="en-GB"/>
        </w:rPr>
        <w:footnoteReference w:id="16"/>
      </w:r>
      <w:r w:rsidR="006C1C46" w:rsidRPr="00BA41E1">
        <w:rPr>
          <w:lang w:val="en-GB"/>
        </w:rPr>
        <w:t xml:space="preserve">. </w:t>
      </w:r>
    </w:p>
    <w:p w14:paraId="0AB78FEE" w14:textId="740C6119" w:rsidR="006F6D87" w:rsidRPr="00BA41E1" w:rsidRDefault="00D63274" w:rsidP="0026216E">
      <w:pPr>
        <w:jc w:val="both"/>
        <w:rPr>
          <w:lang w:val="en-GB"/>
        </w:rPr>
      </w:pPr>
      <w:r w:rsidRPr="00BA41E1">
        <w:rPr>
          <w:lang w:val="en-GB"/>
        </w:rPr>
        <w:object w:dxaOrig="1508" w:dyaOrig="984" w14:anchorId="110863E0">
          <v:shape id="_x0000_i1027" type="#_x0000_t75" style="width:75pt;height:49.5pt" o:ole="">
            <v:imagedata r:id="rId19" o:title=""/>
          </v:shape>
          <o:OLEObject Type="Embed" ProgID="Excel.Sheet.8" ShapeID="_x0000_i1027" DrawAspect="Icon" ObjectID="_1652175681" r:id="rId20"/>
        </w:object>
      </w:r>
    </w:p>
    <w:p w14:paraId="26E5CEC2" w14:textId="5EF706D4" w:rsidR="006C1C46" w:rsidRPr="00BA41E1" w:rsidRDefault="006C1C46" w:rsidP="006C1C46">
      <w:pPr>
        <w:jc w:val="both"/>
        <w:rPr>
          <w:lang w:val="en-GB"/>
        </w:rPr>
      </w:pPr>
      <w:r w:rsidRPr="00BA41E1">
        <w:rPr>
          <w:lang w:val="en-GB"/>
        </w:rPr>
        <w:t xml:space="preserve">Several actions can be taken to make MPC interventions more nutrition </w:t>
      </w:r>
      <w:r w:rsidR="001F7A20" w:rsidRPr="00BA41E1">
        <w:rPr>
          <w:lang w:val="en-GB"/>
        </w:rPr>
        <w:t>sensitive</w:t>
      </w:r>
      <w:r w:rsidRPr="00BA41E1">
        <w:rPr>
          <w:lang w:val="en-GB"/>
        </w:rPr>
        <w:t xml:space="preserve">. One of them is to appropriately </w:t>
      </w:r>
      <w:r w:rsidR="001F7A20" w:rsidRPr="00BA41E1">
        <w:rPr>
          <w:lang w:val="en-GB"/>
        </w:rPr>
        <w:t>reflect</w:t>
      </w:r>
      <w:r w:rsidRPr="00BA41E1">
        <w:rPr>
          <w:lang w:val="en-GB"/>
        </w:rPr>
        <w:t xml:space="preserve"> nutrition in the MEB and transfer amount calculation (see previous paragraph). Other measures include pairing cash transfers with nutrition SBC and choosing nutrition sensitive targeting criteria</w:t>
      </w:r>
      <w:r w:rsidR="00394346" w:rsidRPr="00BA41E1">
        <w:rPr>
          <w:lang w:val="en-GB"/>
        </w:rPr>
        <w:t>.</w:t>
      </w:r>
    </w:p>
    <w:p w14:paraId="696D3F76" w14:textId="45CDDB51" w:rsidR="00394346" w:rsidRPr="00BA41E1" w:rsidRDefault="00394346" w:rsidP="00394346">
      <w:pPr>
        <w:jc w:val="both"/>
        <w:rPr>
          <w:lang w:val="en-GB"/>
        </w:rPr>
      </w:pPr>
      <w:r w:rsidRPr="00BA41E1">
        <w:rPr>
          <w:lang w:val="en-GB"/>
        </w:rPr>
        <w:t>We have seen before that pairing nutrition SBC interventions with CVA is an absolute must if the CVA is meant to achieve nutrition outcomes. In the context of Nigeria, partners recommend that the delivery of the MPCG should be accompanied by sensitization on nutrition and hygiene messages (</w:t>
      </w:r>
      <w:r w:rsidR="00C027C5">
        <w:rPr>
          <w:lang w:val="en-GB"/>
        </w:rPr>
        <w:t xml:space="preserve">see </w:t>
      </w:r>
      <w:r w:rsidRPr="00BA41E1">
        <w:rPr>
          <w:lang w:val="en-GB"/>
        </w:rPr>
        <w:t xml:space="preserve">MPC </w:t>
      </w:r>
      <w:r w:rsidR="000C774F" w:rsidRPr="00BA41E1">
        <w:rPr>
          <w:lang w:val="en-GB"/>
        </w:rPr>
        <w:t>collaborative</w:t>
      </w:r>
      <w:r w:rsidRPr="00BA41E1">
        <w:rPr>
          <w:lang w:val="en-GB"/>
        </w:rPr>
        <w:t xml:space="preserve"> model doc</w:t>
      </w:r>
      <w:r w:rsidR="00C027C5">
        <w:rPr>
          <w:lang w:val="en-GB"/>
        </w:rPr>
        <w:t>ument</w:t>
      </w:r>
      <w:r w:rsidRPr="00BA41E1">
        <w:rPr>
          <w:lang w:val="en-GB"/>
        </w:rPr>
        <w:t>). It is however unclear to what extent efforts have been made to systematically incorporate nutrition SBC in MPC interventions.</w:t>
      </w:r>
    </w:p>
    <w:p w14:paraId="51ECA886" w14:textId="071B081C" w:rsidR="006C1C46" w:rsidRPr="00BA41E1" w:rsidRDefault="00394346" w:rsidP="00394346">
      <w:pPr>
        <w:jc w:val="both"/>
        <w:rPr>
          <w:lang w:val="en-GB"/>
        </w:rPr>
      </w:pPr>
      <w:r w:rsidRPr="00BA41E1">
        <w:rPr>
          <w:lang w:val="en-GB"/>
        </w:rPr>
        <w:t xml:space="preserve">As for targeting, in contexts where malnutrition rates are high, targeting strategies for MPC </w:t>
      </w:r>
      <w:r w:rsidR="00C027C5">
        <w:rPr>
          <w:lang w:val="en-GB"/>
        </w:rPr>
        <w:t xml:space="preserve"> could</w:t>
      </w:r>
      <w:r w:rsidRPr="00BA41E1">
        <w:rPr>
          <w:lang w:val="en-GB"/>
        </w:rPr>
        <w:t xml:space="preserve"> pay specific attention to at risk groups, which includes the first 1000 days</w:t>
      </w:r>
      <w:r w:rsidRPr="00BA41E1">
        <w:rPr>
          <w:rStyle w:val="FootnoteReference"/>
          <w:lang w:val="en-GB"/>
        </w:rPr>
        <w:footnoteReference w:id="17"/>
      </w:r>
      <w:r w:rsidRPr="00BA41E1">
        <w:rPr>
          <w:lang w:val="en-GB"/>
        </w:rPr>
        <w:t xml:space="preserve"> (PLWs and children below 2 years of age) but also children below the age of 5, the elderly or people living with HIV (GNC, 2020). </w:t>
      </w:r>
    </w:p>
    <w:p w14:paraId="20EE23D2" w14:textId="37F6412C" w:rsidR="00566ABA" w:rsidRPr="00BA41E1" w:rsidRDefault="00566ABA" w:rsidP="00566ABA">
      <w:pPr>
        <w:pStyle w:val="Heading1"/>
        <w:rPr>
          <w:lang w:val="en-GB"/>
        </w:rPr>
      </w:pPr>
      <w:bookmarkStart w:id="9" w:name="_Toc41558466"/>
      <w:r w:rsidRPr="00BA41E1">
        <w:rPr>
          <w:lang w:val="en-GB"/>
        </w:rPr>
        <w:t>Conclusion</w:t>
      </w:r>
      <w:bookmarkEnd w:id="9"/>
      <w:r w:rsidR="00613091" w:rsidRPr="00BA41E1">
        <w:rPr>
          <w:lang w:val="en-GB"/>
        </w:rPr>
        <w:t xml:space="preserve"> </w:t>
      </w:r>
    </w:p>
    <w:p w14:paraId="3EBEE656" w14:textId="291813C0" w:rsidR="00F82842" w:rsidRPr="00FF531D" w:rsidRDefault="001F7A20" w:rsidP="00400805">
      <w:pPr>
        <w:jc w:val="both"/>
        <w:rPr>
          <w:lang w:val="en-GB"/>
        </w:rPr>
      </w:pPr>
      <w:r w:rsidRPr="00FF531D">
        <w:rPr>
          <w:lang w:val="en-GB"/>
        </w:rPr>
        <w:t xml:space="preserve">The context of Nigeria is rich in experiences </w:t>
      </w:r>
      <w:r w:rsidR="00F82842" w:rsidRPr="00FF531D">
        <w:rPr>
          <w:lang w:val="en-GB"/>
        </w:rPr>
        <w:t xml:space="preserve">using CVA for nutrition outcomes. The projects reviewed as part </w:t>
      </w:r>
      <w:r w:rsidR="00C027C5">
        <w:rPr>
          <w:lang w:val="en-GB"/>
        </w:rPr>
        <w:t xml:space="preserve">of this case study </w:t>
      </w:r>
      <w:r w:rsidR="00F82842" w:rsidRPr="00FF531D">
        <w:rPr>
          <w:lang w:val="en-GB"/>
        </w:rPr>
        <w:t>are just a selection of broader experience that has been accumulated in the past years. The project</w:t>
      </w:r>
      <w:r w:rsidR="00C027C5">
        <w:rPr>
          <w:lang w:val="en-GB"/>
        </w:rPr>
        <w:t>s</w:t>
      </w:r>
      <w:r w:rsidR="00F82842" w:rsidRPr="00FF531D">
        <w:rPr>
          <w:lang w:val="en-GB"/>
        </w:rPr>
        <w:t xml:space="preserve"> illustrate the varied ways CVA can be used in a nutrition response and illustrate some broader lessons</w:t>
      </w:r>
      <w:r w:rsidR="00FF531D">
        <w:rPr>
          <w:lang w:val="en-GB"/>
        </w:rPr>
        <w:t xml:space="preserve"> that have been observed in other contexts as well</w:t>
      </w:r>
      <w:r w:rsidR="00F82842" w:rsidRPr="00FF531D">
        <w:rPr>
          <w:lang w:val="en-GB"/>
        </w:rPr>
        <w:t>:</w:t>
      </w:r>
    </w:p>
    <w:p w14:paraId="77209369" w14:textId="3365865D" w:rsidR="00FF531D" w:rsidRDefault="00FF531D" w:rsidP="00FF531D">
      <w:pPr>
        <w:pStyle w:val="ListParagraph"/>
        <w:numPr>
          <w:ilvl w:val="0"/>
          <w:numId w:val="29"/>
        </w:numPr>
        <w:jc w:val="both"/>
        <w:rPr>
          <w:lang w:val="en-GB"/>
        </w:rPr>
      </w:pPr>
      <w:r w:rsidRPr="00FF531D">
        <w:rPr>
          <w:lang w:val="en-GB"/>
        </w:rPr>
        <w:t xml:space="preserve">CVA </w:t>
      </w:r>
      <w:r w:rsidR="00C027C5">
        <w:rPr>
          <w:lang w:val="en-GB"/>
        </w:rPr>
        <w:t xml:space="preserve">modalities </w:t>
      </w:r>
      <w:r w:rsidRPr="00FF531D">
        <w:rPr>
          <w:lang w:val="en-GB"/>
        </w:rPr>
        <w:t xml:space="preserve">can be part of preventative and treatment strategies but </w:t>
      </w:r>
      <w:r w:rsidR="004E5108">
        <w:rPr>
          <w:lang w:val="en-GB"/>
        </w:rPr>
        <w:t>are</w:t>
      </w:r>
      <w:r w:rsidRPr="00FF531D">
        <w:rPr>
          <w:lang w:val="en-GB"/>
        </w:rPr>
        <w:t xml:space="preserve"> generally more suited for preventative approaches</w:t>
      </w:r>
      <w:r w:rsidR="004E5108">
        <w:rPr>
          <w:lang w:val="en-GB"/>
        </w:rPr>
        <w:t>.</w:t>
      </w:r>
    </w:p>
    <w:p w14:paraId="36B3CFE4" w14:textId="58E079B9" w:rsidR="00F82842" w:rsidRPr="00FF531D" w:rsidRDefault="00F82842" w:rsidP="00FF531D">
      <w:pPr>
        <w:pStyle w:val="ListParagraph"/>
        <w:numPr>
          <w:ilvl w:val="0"/>
          <w:numId w:val="29"/>
        </w:numPr>
        <w:jc w:val="both"/>
        <w:rPr>
          <w:lang w:val="en-GB"/>
        </w:rPr>
      </w:pPr>
      <w:r w:rsidRPr="00FF531D">
        <w:rPr>
          <w:lang w:val="en-GB"/>
        </w:rPr>
        <w:t xml:space="preserve">CVA can be provided as household assistance </w:t>
      </w:r>
      <w:r w:rsidR="00C027C5">
        <w:rPr>
          <w:lang w:val="en-GB"/>
        </w:rPr>
        <w:t xml:space="preserve">(e.g. MPC) </w:t>
      </w:r>
      <w:r w:rsidRPr="00FF531D">
        <w:rPr>
          <w:lang w:val="en-GB"/>
        </w:rPr>
        <w:t xml:space="preserve">or individualized assistance by addressing the specific nutritional requirements of </w:t>
      </w:r>
      <w:r w:rsidR="00C027C5">
        <w:rPr>
          <w:lang w:val="en-GB"/>
        </w:rPr>
        <w:t>at</w:t>
      </w:r>
      <w:r w:rsidR="00FA2857">
        <w:rPr>
          <w:lang w:val="en-GB"/>
        </w:rPr>
        <w:t>-</w:t>
      </w:r>
      <w:r w:rsidR="00C027C5">
        <w:rPr>
          <w:lang w:val="en-GB"/>
        </w:rPr>
        <w:t>risk groups within households</w:t>
      </w:r>
      <w:r w:rsidR="004E5108">
        <w:rPr>
          <w:lang w:val="en-GB"/>
        </w:rPr>
        <w:t>.</w:t>
      </w:r>
    </w:p>
    <w:p w14:paraId="7BCC36CF" w14:textId="05638646" w:rsidR="00F82842" w:rsidRPr="00FF531D" w:rsidRDefault="00F82842" w:rsidP="00FF531D">
      <w:pPr>
        <w:pStyle w:val="ListParagraph"/>
        <w:numPr>
          <w:ilvl w:val="0"/>
          <w:numId w:val="29"/>
        </w:numPr>
        <w:jc w:val="both"/>
        <w:rPr>
          <w:lang w:val="en-GB"/>
        </w:rPr>
      </w:pPr>
      <w:r w:rsidRPr="00FF531D">
        <w:rPr>
          <w:lang w:val="en-GB"/>
        </w:rPr>
        <w:t>C</w:t>
      </w:r>
      <w:r w:rsidR="00FF531D">
        <w:rPr>
          <w:lang w:val="en-GB"/>
        </w:rPr>
        <w:t xml:space="preserve">ash transfers have </w:t>
      </w:r>
      <w:r w:rsidRPr="00FF531D">
        <w:rPr>
          <w:lang w:val="en-GB"/>
        </w:rPr>
        <w:t>a much better chance to impact nutrition outcomes</w:t>
      </w:r>
      <w:r w:rsidR="00C027C5">
        <w:rPr>
          <w:lang w:val="en-GB"/>
        </w:rPr>
        <w:t xml:space="preserve"> of mothers and children</w:t>
      </w:r>
      <w:r w:rsidRPr="00FF531D">
        <w:rPr>
          <w:lang w:val="en-GB"/>
        </w:rPr>
        <w:t xml:space="preserve"> if provided alongside </w:t>
      </w:r>
      <w:r w:rsidR="00C027C5">
        <w:rPr>
          <w:lang w:val="en-GB"/>
        </w:rPr>
        <w:t xml:space="preserve">context-specific </w:t>
      </w:r>
      <w:r w:rsidRPr="00FF531D">
        <w:rPr>
          <w:lang w:val="en-GB"/>
        </w:rPr>
        <w:t>nutrition SBC</w:t>
      </w:r>
      <w:r w:rsidR="004E5108">
        <w:rPr>
          <w:lang w:val="en-GB"/>
        </w:rPr>
        <w:t>.</w:t>
      </w:r>
    </w:p>
    <w:p w14:paraId="54BB99B7" w14:textId="46772E70" w:rsidR="00FF531D" w:rsidRDefault="00FF531D" w:rsidP="00FF531D">
      <w:pPr>
        <w:pStyle w:val="ListParagraph"/>
        <w:numPr>
          <w:ilvl w:val="0"/>
          <w:numId w:val="29"/>
        </w:numPr>
        <w:jc w:val="both"/>
        <w:rPr>
          <w:lang w:val="en-GB"/>
        </w:rPr>
      </w:pPr>
      <w:r>
        <w:rPr>
          <w:lang w:val="en-GB"/>
        </w:rPr>
        <w:t>Conditional cash transfers can increase the attendance to priority health services</w:t>
      </w:r>
      <w:r w:rsidR="004E5108">
        <w:rPr>
          <w:lang w:val="en-GB"/>
        </w:rPr>
        <w:t>.</w:t>
      </w:r>
    </w:p>
    <w:p w14:paraId="50DBAC77" w14:textId="653D5767" w:rsidR="00FF531D" w:rsidRDefault="00FF531D" w:rsidP="00FF531D">
      <w:pPr>
        <w:pStyle w:val="ListParagraph"/>
        <w:numPr>
          <w:ilvl w:val="0"/>
          <w:numId w:val="29"/>
        </w:numPr>
        <w:jc w:val="both"/>
        <w:rPr>
          <w:lang w:val="en-GB"/>
        </w:rPr>
      </w:pPr>
      <w:r>
        <w:rPr>
          <w:lang w:val="en-GB"/>
        </w:rPr>
        <w:t>Targeting CVA based on the nutritional status of children in a treatment response can incentivize caregivers to keep or make their children malnourished</w:t>
      </w:r>
      <w:r w:rsidR="004E5108">
        <w:rPr>
          <w:lang w:val="en-GB"/>
        </w:rPr>
        <w:t>.</w:t>
      </w:r>
    </w:p>
    <w:p w14:paraId="24371445" w14:textId="69FD3E22" w:rsidR="00FF531D" w:rsidRDefault="00FF531D" w:rsidP="00FF531D">
      <w:pPr>
        <w:jc w:val="both"/>
        <w:rPr>
          <w:lang w:val="en-GB"/>
        </w:rPr>
      </w:pPr>
      <w:r>
        <w:rPr>
          <w:lang w:val="en-GB"/>
        </w:rPr>
        <w:t>We further saw that CVA and particularly MPC have been rapidly expanding in the Nigeria context, which offers the opportunity of better integrating nutrition considerations in the design and implementation of MPC. A short analysis of the food component of the MEB seems to suggest that the MEB is not sufficient to address the micronutrient needs of the broader population.</w:t>
      </w:r>
      <w:r w:rsidR="00CA26E8">
        <w:rPr>
          <w:lang w:val="en-GB"/>
        </w:rPr>
        <w:t xml:space="preserve"> While partners recognize that integrating nutrition SBCC into MPC could be beneficial from a food security and nutrition </w:t>
      </w:r>
      <w:r w:rsidR="00FA2857">
        <w:rPr>
          <w:lang w:val="en-GB"/>
        </w:rPr>
        <w:t>perspective,</w:t>
      </w:r>
      <w:r w:rsidR="00CA26E8">
        <w:rPr>
          <w:lang w:val="en-GB"/>
        </w:rPr>
        <w:t xml:space="preserve"> but limited progress has been made to advance this agenda. Lastly, targeting could offer another way to improve the nutrition sensitivity of MPC in the context of Nigeria.</w:t>
      </w:r>
    </w:p>
    <w:p w14:paraId="61BFBC3A" w14:textId="77777777" w:rsidR="00823D1D" w:rsidRDefault="00823D1D">
      <w:pPr>
        <w:rPr>
          <w:rFonts w:eastAsiaTheme="majorEastAsia" w:cstheme="majorBidi"/>
          <w:b/>
          <w:color w:val="91C93D"/>
          <w:sz w:val="28"/>
          <w:szCs w:val="32"/>
          <w:lang w:val="en-GB"/>
        </w:rPr>
      </w:pPr>
      <w:r>
        <w:rPr>
          <w:lang w:val="en-GB"/>
        </w:rPr>
        <w:br w:type="page"/>
      </w:r>
    </w:p>
    <w:p w14:paraId="334585E7" w14:textId="7465000C" w:rsidR="004E5108" w:rsidRDefault="00823D1D" w:rsidP="00823D1D">
      <w:pPr>
        <w:pStyle w:val="Heading1"/>
        <w:rPr>
          <w:lang w:val="en-GB"/>
        </w:rPr>
      </w:pPr>
      <w:bookmarkStart w:id="10" w:name="_Toc41558467"/>
      <w:r>
        <w:rPr>
          <w:lang w:val="en-GB"/>
        </w:rPr>
        <w:t>Recommendations</w:t>
      </w:r>
      <w:bookmarkEnd w:id="10"/>
    </w:p>
    <w:p w14:paraId="6E07FCD8" w14:textId="5C3BB413" w:rsidR="00CA26E8" w:rsidRDefault="00CA26E8" w:rsidP="00FF531D">
      <w:pPr>
        <w:jc w:val="both"/>
        <w:rPr>
          <w:lang w:val="en-GB"/>
        </w:rPr>
      </w:pPr>
      <w:r>
        <w:rPr>
          <w:lang w:val="en-GB"/>
        </w:rPr>
        <w:t xml:space="preserve">Based on these conclusions, the case study </w:t>
      </w:r>
      <w:r w:rsidRPr="004E5108">
        <w:rPr>
          <w:b/>
          <w:bCs/>
          <w:lang w:val="en-GB"/>
        </w:rPr>
        <w:t>recommends the following actions</w:t>
      </w:r>
      <w:r>
        <w:rPr>
          <w:lang w:val="en-GB"/>
        </w:rPr>
        <w:t>:</w:t>
      </w:r>
    </w:p>
    <w:p w14:paraId="7978238D" w14:textId="5700CA56" w:rsidR="00CA26E8" w:rsidRPr="004E5108" w:rsidRDefault="00A02BEF" w:rsidP="00FF531D">
      <w:pPr>
        <w:jc w:val="both"/>
        <w:rPr>
          <w:i/>
          <w:iCs/>
          <w:lang w:val="en-GB"/>
        </w:rPr>
      </w:pPr>
      <w:r w:rsidRPr="004E5108">
        <w:rPr>
          <w:i/>
          <w:iCs/>
          <w:lang w:val="en-GB"/>
        </w:rPr>
        <w:t>To the Nutrition Cluster</w:t>
      </w:r>
      <w:r w:rsidR="004E5108" w:rsidRPr="004E5108">
        <w:rPr>
          <w:i/>
          <w:iCs/>
          <w:lang w:val="en-GB"/>
        </w:rPr>
        <w:t xml:space="preserve">: </w:t>
      </w:r>
    </w:p>
    <w:p w14:paraId="45B6C9CC" w14:textId="47E9351D" w:rsidR="00A02BEF" w:rsidRDefault="000E5866" w:rsidP="000E5866">
      <w:pPr>
        <w:pStyle w:val="ListParagraph"/>
        <w:numPr>
          <w:ilvl w:val="0"/>
          <w:numId w:val="30"/>
        </w:numPr>
        <w:jc w:val="both"/>
        <w:rPr>
          <w:lang w:val="en-GB"/>
        </w:rPr>
      </w:pPr>
      <w:r>
        <w:rPr>
          <w:lang w:val="en-GB"/>
        </w:rPr>
        <w:t xml:space="preserve">Engage more on documentation for emerging experiences and learning from nutrition responses with CVA components. </w:t>
      </w:r>
    </w:p>
    <w:p w14:paraId="6B27013D" w14:textId="026CF82F" w:rsidR="000E5866" w:rsidRPr="008C52B8" w:rsidRDefault="000E5866" w:rsidP="00EB0FAE">
      <w:pPr>
        <w:pStyle w:val="ListParagraph"/>
        <w:numPr>
          <w:ilvl w:val="0"/>
          <w:numId w:val="30"/>
        </w:numPr>
        <w:jc w:val="both"/>
        <w:rPr>
          <w:lang w:val="en-GB"/>
        </w:rPr>
      </w:pPr>
      <w:r w:rsidRPr="008C52B8">
        <w:rPr>
          <w:lang w:val="en-GB"/>
        </w:rPr>
        <w:t xml:space="preserve">Set up a regular exchange forum with the Cash Working Group </w:t>
      </w:r>
      <w:r w:rsidR="008C52B8" w:rsidRPr="008C52B8">
        <w:rPr>
          <w:lang w:val="en-GB"/>
        </w:rPr>
        <w:t>to discuss: reporting, learning and dissemination, opportunities to integrate CVA modalities in the nutrition sector, opportunities to improve nutrition sensitivity of MPC</w:t>
      </w:r>
      <w:r w:rsidR="004256EB">
        <w:rPr>
          <w:lang w:val="en-GB"/>
        </w:rPr>
        <w:t xml:space="preserve"> including integrate nutrition SBC activities into MPC implementation</w:t>
      </w:r>
      <w:r w:rsidR="008C52B8" w:rsidRPr="008C52B8">
        <w:rPr>
          <w:lang w:val="en-GB"/>
        </w:rPr>
        <w:t xml:space="preserve">, MEB and transfer amounts, etc. </w:t>
      </w:r>
      <w:r w:rsidRPr="008C52B8">
        <w:rPr>
          <w:lang w:val="en-GB"/>
        </w:rPr>
        <w:t>This is something that was already planned for 2019/2020 but has so far not materialized</w:t>
      </w:r>
      <w:r>
        <w:rPr>
          <w:rStyle w:val="FootnoteReference"/>
          <w:lang w:val="en-GB"/>
        </w:rPr>
        <w:footnoteReference w:id="18"/>
      </w:r>
    </w:p>
    <w:p w14:paraId="134BBA3C" w14:textId="63011A3A" w:rsidR="00A02BEF" w:rsidRPr="004E5108" w:rsidRDefault="00A02BEF" w:rsidP="00FF531D">
      <w:pPr>
        <w:jc w:val="both"/>
        <w:rPr>
          <w:i/>
          <w:iCs/>
          <w:lang w:val="en-GB"/>
        </w:rPr>
      </w:pPr>
      <w:r w:rsidRPr="004E5108">
        <w:rPr>
          <w:i/>
          <w:iCs/>
          <w:lang w:val="en-GB"/>
        </w:rPr>
        <w:t>To the Cash Working Group</w:t>
      </w:r>
      <w:r w:rsidR="004E5108" w:rsidRPr="004E5108">
        <w:rPr>
          <w:i/>
          <w:iCs/>
          <w:lang w:val="en-GB"/>
        </w:rPr>
        <w:t xml:space="preserve">: </w:t>
      </w:r>
    </w:p>
    <w:p w14:paraId="466B2B6C" w14:textId="6D7CAEFF" w:rsidR="008C52B8" w:rsidRDefault="008C52B8" w:rsidP="000E5866">
      <w:pPr>
        <w:pStyle w:val="ListParagraph"/>
        <w:numPr>
          <w:ilvl w:val="0"/>
          <w:numId w:val="32"/>
        </w:numPr>
        <w:jc w:val="both"/>
        <w:rPr>
          <w:lang w:val="en-GB"/>
        </w:rPr>
      </w:pPr>
      <w:r w:rsidRPr="008C52B8">
        <w:rPr>
          <w:lang w:val="en-GB"/>
        </w:rPr>
        <w:t xml:space="preserve">Set up a regular exchange forum with the </w:t>
      </w:r>
      <w:r>
        <w:rPr>
          <w:lang w:val="en-GB"/>
        </w:rPr>
        <w:t>Nutrition Cluster (see above)</w:t>
      </w:r>
      <w:r w:rsidRPr="008C52B8">
        <w:rPr>
          <w:lang w:val="en-GB"/>
        </w:rPr>
        <w:t xml:space="preserve"> </w:t>
      </w:r>
    </w:p>
    <w:p w14:paraId="199E9288" w14:textId="62753B27" w:rsidR="000E5866" w:rsidRDefault="000E5866" w:rsidP="000E5866">
      <w:pPr>
        <w:pStyle w:val="ListParagraph"/>
        <w:numPr>
          <w:ilvl w:val="0"/>
          <w:numId w:val="32"/>
        </w:numPr>
        <w:jc w:val="both"/>
        <w:rPr>
          <w:lang w:val="en-GB"/>
        </w:rPr>
      </w:pPr>
      <w:r>
        <w:rPr>
          <w:lang w:val="en-GB"/>
        </w:rPr>
        <w:t>Consult the Nutrition Cluster on discussions around MEB and transfer value calculation for MPC</w:t>
      </w:r>
    </w:p>
    <w:p w14:paraId="453F2C21" w14:textId="61CC7229" w:rsidR="000E5866" w:rsidRPr="000E5866" w:rsidRDefault="000E5866" w:rsidP="000E5866">
      <w:pPr>
        <w:pStyle w:val="ListParagraph"/>
        <w:numPr>
          <w:ilvl w:val="0"/>
          <w:numId w:val="32"/>
        </w:numPr>
        <w:jc w:val="both"/>
        <w:rPr>
          <w:lang w:val="en-GB"/>
        </w:rPr>
      </w:pPr>
      <w:r>
        <w:rPr>
          <w:lang w:val="en-GB"/>
        </w:rPr>
        <w:t>Advise as required nutrition partners on technical aspects of CVA and market assessment</w:t>
      </w:r>
    </w:p>
    <w:p w14:paraId="3148B152" w14:textId="188DF14D" w:rsidR="00A02BEF" w:rsidRPr="004E5108" w:rsidRDefault="00A02BEF" w:rsidP="00FF531D">
      <w:pPr>
        <w:jc w:val="both"/>
        <w:rPr>
          <w:i/>
          <w:iCs/>
          <w:lang w:val="en-GB"/>
        </w:rPr>
      </w:pPr>
      <w:r w:rsidRPr="004E5108">
        <w:rPr>
          <w:i/>
          <w:iCs/>
          <w:lang w:val="en-GB"/>
        </w:rPr>
        <w:t>To nutrition partners</w:t>
      </w:r>
      <w:r w:rsidR="004E5108" w:rsidRPr="004E5108">
        <w:rPr>
          <w:i/>
          <w:iCs/>
          <w:lang w:val="en-GB"/>
        </w:rPr>
        <w:t xml:space="preserve">: </w:t>
      </w:r>
    </w:p>
    <w:p w14:paraId="7C574C9E" w14:textId="23322605" w:rsidR="00B55EC5" w:rsidRPr="00823D1D" w:rsidRDefault="000E5866" w:rsidP="00823D1D">
      <w:pPr>
        <w:pStyle w:val="ListParagraph"/>
        <w:numPr>
          <w:ilvl w:val="0"/>
          <w:numId w:val="33"/>
        </w:numPr>
        <w:jc w:val="both"/>
        <w:rPr>
          <w:lang w:val="en-GB"/>
        </w:rPr>
      </w:pPr>
      <w:r w:rsidRPr="00823D1D">
        <w:rPr>
          <w:lang w:val="en-GB"/>
        </w:rPr>
        <w:t>Document and disseminate learning on CVA in nutrition responses</w:t>
      </w:r>
    </w:p>
    <w:p w14:paraId="426ACDEC" w14:textId="77777777" w:rsidR="004256EB" w:rsidRDefault="004256EB" w:rsidP="00566ABA">
      <w:pPr>
        <w:jc w:val="both"/>
        <w:rPr>
          <w:lang w:val="en-GB"/>
        </w:rPr>
      </w:pPr>
    </w:p>
    <w:p w14:paraId="69A375AC" w14:textId="7C59788F" w:rsidR="00385BA4" w:rsidRPr="00BA41E1" w:rsidRDefault="00385BA4" w:rsidP="00566ABA">
      <w:pPr>
        <w:jc w:val="both"/>
        <w:rPr>
          <w:lang w:val="en-GB"/>
        </w:rPr>
      </w:pPr>
      <w:r>
        <w:rPr>
          <w:lang w:val="en-GB"/>
        </w:rPr>
        <w:t>Comment: considering the significant increase in workload related to the ongoing COVID-19 pandemic, the concerned actors have to decide whether and how these recommendations can be integrated into the workplans.</w:t>
      </w:r>
      <w:r w:rsidR="004256EB">
        <w:rPr>
          <w:lang w:val="en-GB"/>
        </w:rPr>
        <w:t xml:space="preserve"> Please see annex 3 for some reflections on CVA for nutrition outcomes in times of COVID-19.</w:t>
      </w:r>
    </w:p>
    <w:p w14:paraId="691708E9" w14:textId="77777777" w:rsidR="008A3DF5" w:rsidRPr="00BA41E1" w:rsidRDefault="008A3DF5">
      <w:pPr>
        <w:rPr>
          <w:rFonts w:eastAsiaTheme="majorEastAsia" w:cstheme="majorBidi"/>
          <w:color w:val="2F5496" w:themeColor="accent1" w:themeShade="BF"/>
          <w:sz w:val="28"/>
          <w:szCs w:val="32"/>
          <w:lang w:val="en-GB"/>
        </w:rPr>
      </w:pPr>
      <w:r w:rsidRPr="00BA41E1">
        <w:rPr>
          <w:lang w:val="en-GB"/>
        </w:rPr>
        <w:br w:type="page"/>
      </w:r>
    </w:p>
    <w:p w14:paraId="2B48696A" w14:textId="29F45953" w:rsidR="0036176B" w:rsidRDefault="0036176B" w:rsidP="00566ABA">
      <w:pPr>
        <w:pStyle w:val="Heading1"/>
        <w:numPr>
          <w:ilvl w:val="0"/>
          <w:numId w:val="0"/>
        </w:numPr>
        <w:jc w:val="both"/>
        <w:rPr>
          <w:lang w:val="en-GB"/>
        </w:rPr>
      </w:pPr>
      <w:bookmarkStart w:id="11" w:name="_Toc41558468"/>
      <w:r w:rsidRPr="00BA41E1">
        <w:rPr>
          <w:lang w:val="en-GB"/>
        </w:rPr>
        <w:t>Annex 1: Demand and supply side barriers to adequate nutrition</w:t>
      </w:r>
      <w:bookmarkEnd w:id="11"/>
    </w:p>
    <w:p w14:paraId="16C76611" w14:textId="77777777" w:rsidR="00134D67" w:rsidRPr="007F0C70" w:rsidRDefault="00134D67" w:rsidP="00134D67">
      <w:pPr>
        <w:jc w:val="both"/>
        <w:rPr>
          <w:i/>
          <w:iCs/>
          <w:lang w:val="en-GB"/>
        </w:rPr>
      </w:pPr>
      <w:r w:rsidRPr="007F0C70">
        <w:rPr>
          <w:i/>
          <w:iCs/>
          <w:lang w:val="en-GB"/>
        </w:rPr>
        <w:t xml:space="preserve">From: GNC (2020). </w:t>
      </w:r>
      <w:r w:rsidRPr="007F0C70">
        <w:rPr>
          <w:i/>
          <w:iCs/>
        </w:rPr>
        <w:t>Draft evidence and guidance note on the use of CVA for nutrition outcomes.</w:t>
      </w:r>
    </w:p>
    <w:tbl>
      <w:tblPr>
        <w:tblW w:w="9900" w:type="dxa"/>
        <w:tblLayout w:type="fixed"/>
        <w:tblCellMar>
          <w:left w:w="0" w:type="dxa"/>
          <w:right w:w="0" w:type="dxa"/>
        </w:tblCellMar>
        <w:tblLook w:val="04A0" w:firstRow="1" w:lastRow="0" w:firstColumn="1" w:lastColumn="0" w:noHBand="0" w:noVBand="1"/>
      </w:tblPr>
      <w:tblGrid>
        <w:gridCol w:w="4590"/>
        <w:gridCol w:w="1170"/>
        <w:gridCol w:w="4140"/>
      </w:tblGrid>
      <w:tr w:rsidR="00C01301" w:rsidRPr="00182694" w14:paraId="1A361EE2" w14:textId="77777777" w:rsidTr="00BF4538">
        <w:trPr>
          <w:trHeight w:val="432"/>
        </w:trPr>
        <w:tc>
          <w:tcPr>
            <w:tcW w:w="4590" w:type="dxa"/>
            <w:tcBorders>
              <w:top w:val="nil"/>
              <w:left w:val="nil"/>
              <w:bottom w:val="nil"/>
              <w:right w:val="nil"/>
            </w:tcBorders>
            <w:shd w:val="clear" w:color="auto" w:fill="auto"/>
            <w:tcMar>
              <w:top w:w="15" w:type="dxa"/>
              <w:left w:w="60" w:type="dxa"/>
              <w:bottom w:w="0" w:type="dxa"/>
              <w:right w:w="60" w:type="dxa"/>
            </w:tcMar>
            <w:vAlign w:val="center"/>
            <w:hideMark/>
          </w:tcPr>
          <w:p w14:paraId="644AB4D5" w14:textId="77777777" w:rsidR="00C01301" w:rsidRPr="00182694" w:rsidRDefault="00C01301" w:rsidP="00BF4538">
            <w:pPr>
              <w:spacing w:after="0"/>
              <w:jc w:val="center"/>
              <w:rPr>
                <w:sz w:val="20"/>
                <w:szCs w:val="20"/>
              </w:rPr>
            </w:pPr>
            <w:r w:rsidRPr="00182694">
              <w:rPr>
                <w:b/>
                <w:bCs/>
                <w:sz w:val="20"/>
                <w:szCs w:val="20"/>
                <w:lang w:val="en-GB"/>
              </w:rPr>
              <w:t>Demand barriers</w:t>
            </w:r>
          </w:p>
        </w:tc>
        <w:tc>
          <w:tcPr>
            <w:tcW w:w="1170" w:type="dxa"/>
            <w:tcBorders>
              <w:top w:val="nil"/>
              <w:left w:val="nil"/>
              <w:bottom w:val="nil"/>
              <w:right w:val="nil"/>
            </w:tcBorders>
            <w:shd w:val="clear" w:color="auto" w:fill="auto"/>
            <w:tcMar>
              <w:top w:w="15" w:type="dxa"/>
              <w:left w:w="60" w:type="dxa"/>
              <w:bottom w:w="0" w:type="dxa"/>
              <w:right w:w="60" w:type="dxa"/>
            </w:tcMar>
            <w:vAlign w:val="center"/>
            <w:hideMark/>
          </w:tcPr>
          <w:p w14:paraId="210838F5" w14:textId="77777777" w:rsidR="00C01301" w:rsidRPr="00182694" w:rsidRDefault="00C01301" w:rsidP="00BF4538">
            <w:pPr>
              <w:spacing w:after="0"/>
              <w:jc w:val="center"/>
              <w:rPr>
                <w:sz w:val="20"/>
                <w:szCs w:val="20"/>
              </w:rPr>
            </w:pPr>
          </w:p>
        </w:tc>
        <w:tc>
          <w:tcPr>
            <w:tcW w:w="4140" w:type="dxa"/>
            <w:tcBorders>
              <w:top w:val="nil"/>
              <w:left w:val="nil"/>
              <w:bottom w:val="nil"/>
              <w:right w:val="nil"/>
            </w:tcBorders>
            <w:vAlign w:val="center"/>
          </w:tcPr>
          <w:p w14:paraId="537DBFDB" w14:textId="77777777" w:rsidR="00C01301" w:rsidRPr="00182694" w:rsidRDefault="00C01301" w:rsidP="00BF4538">
            <w:pPr>
              <w:spacing w:after="0"/>
              <w:jc w:val="center"/>
              <w:rPr>
                <w:sz w:val="20"/>
                <w:szCs w:val="20"/>
              </w:rPr>
            </w:pPr>
            <w:r w:rsidRPr="00182694">
              <w:rPr>
                <w:b/>
                <w:bCs/>
                <w:sz w:val="20"/>
                <w:szCs w:val="20"/>
                <w:lang w:val="en-GB"/>
              </w:rPr>
              <w:t>Supply barriers</w:t>
            </w:r>
          </w:p>
        </w:tc>
      </w:tr>
      <w:tr w:rsidR="00C01301" w:rsidRPr="00182694" w14:paraId="31777802" w14:textId="77777777" w:rsidTr="00BF4538">
        <w:trPr>
          <w:trHeight w:val="1863"/>
        </w:trPr>
        <w:tc>
          <w:tcPr>
            <w:tcW w:w="4590" w:type="dxa"/>
            <w:tcBorders>
              <w:top w:val="nil"/>
              <w:left w:val="nil"/>
              <w:bottom w:val="nil"/>
              <w:right w:val="nil"/>
            </w:tcBorders>
            <w:shd w:val="clear" w:color="auto" w:fill="92D050"/>
            <w:tcMar>
              <w:top w:w="15" w:type="dxa"/>
              <w:left w:w="60" w:type="dxa"/>
              <w:bottom w:w="0" w:type="dxa"/>
              <w:right w:w="60" w:type="dxa"/>
            </w:tcMar>
            <w:hideMark/>
          </w:tcPr>
          <w:p w14:paraId="294B9447" w14:textId="77777777" w:rsidR="00182694" w:rsidRPr="00182694" w:rsidRDefault="00F57A1F" w:rsidP="00C01301">
            <w:pPr>
              <w:numPr>
                <w:ilvl w:val="0"/>
                <w:numId w:val="34"/>
              </w:numPr>
              <w:tabs>
                <w:tab w:val="clear" w:pos="360"/>
                <w:tab w:val="num" w:pos="720"/>
              </w:tabs>
              <w:spacing w:after="0"/>
              <w:rPr>
                <w:sz w:val="20"/>
                <w:szCs w:val="20"/>
              </w:rPr>
            </w:pPr>
            <w:r w:rsidRPr="00182694">
              <w:rPr>
                <w:sz w:val="20"/>
                <w:szCs w:val="20"/>
                <w:highlight w:val="yellow"/>
                <w:lang w:val="en-GB"/>
              </w:rPr>
              <w:t>Nutritious food not affordable</w:t>
            </w:r>
          </w:p>
          <w:p w14:paraId="538428E8" w14:textId="77777777" w:rsidR="00182694" w:rsidRPr="00182694" w:rsidRDefault="00F57A1F" w:rsidP="00C01301">
            <w:pPr>
              <w:numPr>
                <w:ilvl w:val="0"/>
                <w:numId w:val="34"/>
              </w:numPr>
              <w:tabs>
                <w:tab w:val="clear" w:pos="360"/>
                <w:tab w:val="num" w:pos="720"/>
              </w:tabs>
              <w:spacing w:after="0"/>
              <w:rPr>
                <w:sz w:val="20"/>
                <w:szCs w:val="20"/>
              </w:rPr>
            </w:pPr>
            <w:r w:rsidRPr="00182694">
              <w:rPr>
                <w:sz w:val="20"/>
                <w:szCs w:val="20"/>
                <w:highlight w:val="yellow"/>
                <w:lang w:val="en-GB"/>
              </w:rPr>
              <w:t>Transportation to markets not affordable</w:t>
            </w:r>
          </w:p>
          <w:p w14:paraId="10222034" w14:textId="77777777" w:rsidR="00182694" w:rsidRPr="00182694" w:rsidRDefault="00F57A1F" w:rsidP="00C01301">
            <w:pPr>
              <w:numPr>
                <w:ilvl w:val="0"/>
                <w:numId w:val="34"/>
              </w:numPr>
              <w:tabs>
                <w:tab w:val="clear" w:pos="360"/>
                <w:tab w:val="num" w:pos="720"/>
              </w:tabs>
              <w:spacing w:after="0"/>
              <w:rPr>
                <w:sz w:val="20"/>
                <w:szCs w:val="20"/>
              </w:rPr>
            </w:pPr>
            <w:r w:rsidRPr="00182694">
              <w:rPr>
                <w:sz w:val="20"/>
                <w:szCs w:val="20"/>
                <w:lang w:val="en-GB"/>
              </w:rPr>
              <w:t>Markets physically not accessible</w:t>
            </w:r>
          </w:p>
          <w:p w14:paraId="083A2F27" w14:textId="77777777" w:rsidR="00182694" w:rsidRPr="00182694" w:rsidRDefault="00F57A1F" w:rsidP="00C01301">
            <w:pPr>
              <w:numPr>
                <w:ilvl w:val="0"/>
                <w:numId w:val="34"/>
              </w:numPr>
              <w:tabs>
                <w:tab w:val="clear" w:pos="360"/>
                <w:tab w:val="num" w:pos="720"/>
              </w:tabs>
              <w:spacing w:after="0"/>
              <w:rPr>
                <w:sz w:val="20"/>
                <w:szCs w:val="20"/>
              </w:rPr>
            </w:pPr>
            <w:r w:rsidRPr="00182694">
              <w:rPr>
                <w:sz w:val="20"/>
                <w:szCs w:val="20"/>
                <w:lang w:val="en-GB"/>
              </w:rPr>
              <w:t>Inadequate storage and preparation of food at household level</w:t>
            </w:r>
          </w:p>
          <w:p w14:paraId="3B2FB0DA" w14:textId="77777777" w:rsidR="00182694" w:rsidRPr="00182694" w:rsidRDefault="00F57A1F" w:rsidP="00C01301">
            <w:pPr>
              <w:numPr>
                <w:ilvl w:val="0"/>
                <w:numId w:val="34"/>
              </w:numPr>
              <w:tabs>
                <w:tab w:val="clear" w:pos="360"/>
                <w:tab w:val="num" w:pos="720"/>
              </w:tabs>
              <w:spacing w:after="0"/>
              <w:rPr>
                <w:sz w:val="20"/>
                <w:szCs w:val="20"/>
              </w:rPr>
            </w:pPr>
            <w:r w:rsidRPr="00182694">
              <w:rPr>
                <w:sz w:val="20"/>
                <w:szCs w:val="20"/>
                <w:lang w:val="en-GB"/>
              </w:rPr>
              <w:t>Food usage and sharing within households is not child or women centred</w:t>
            </w:r>
          </w:p>
        </w:tc>
        <w:tc>
          <w:tcPr>
            <w:tcW w:w="1170" w:type="dxa"/>
            <w:tcBorders>
              <w:top w:val="nil"/>
              <w:left w:val="nil"/>
              <w:bottom w:val="nil"/>
              <w:right w:val="nil"/>
            </w:tcBorders>
            <w:shd w:val="clear" w:color="auto" w:fill="92D050"/>
            <w:tcMar>
              <w:top w:w="15" w:type="dxa"/>
              <w:left w:w="60" w:type="dxa"/>
              <w:bottom w:w="0" w:type="dxa"/>
              <w:right w:w="60" w:type="dxa"/>
            </w:tcMar>
            <w:vAlign w:val="center"/>
            <w:hideMark/>
          </w:tcPr>
          <w:p w14:paraId="2FA07230" w14:textId="77777777" w:rsidR="00C01301" w:rsidRDefault="00C01301" w:rsidP="00BF4538">
            <w:pPr>
              <w:spacing w:after="0"/>
              <w:jc w:val="center"/>
              <w:rPr>
                <w:b/>
                <w:bCs/>
                <w:sz w:val="20"/>
                <w:szCs w:val="20"/>
                <w:lang w:val="en-GB"/>
              </w:rPr>
            </w:pPr>
            <w:r w:rsidRPr="00182694">
              <w:rPr>
                <w:b/>
                <w:bCs/>
                <w:sz w:val="20"/>
                <w:szCs w:val="20"/>
                <w:lang w:val="en-GB"/>
              </w:rPr>
              <w:t xml:space="preserve">Barriers to adequate </w:t>
            </w:r>
          </w:p>
          <w:p w14:paraId="394970DB" w14:textId="77777777" w:rsidR="00C01301" w:rsidRPr="00182694" w:rsidRDefault="00C01301" w:rsidP="00BF4538">
            <w:pPr>
              <w:spacing w:after="0"/>
              <w:jc w:val="center"/>
              <w:rPr>
                <w:sz w:val="20"/>
                <w:szCs w:val="20"/>
              </w:rPr>
            </w:pPr>
            <w:r w:rsidRPr="00182694">
              <w:rPr>
                <w:b/>
                <w:bCs/>
                <w:sz w:val="20"/>
                <w:szCs w:val="20"/>
                <w:lang w:val="en-GB"/>
              </w:rPr>
              <w:t>food</w:t>
            </w:r>
          </w:p>
          <w:p w14:paraId="517B5E18" w14:textId="77777777" w:rsidR="00C01301" w:rsidRPr="00182694" w:rsidRDefault="00C01301" w:rsidP="00BF4538">
            <w:pPr>
              <w:spacing w:after="0"/>
              <w:jc w:val="center"/>
              <w:rPr>
                <w:sz w:val="20"/>
                <w:szCs w:val="20"/>
              </w:rPr>
            </w:pPr>
          </w:p>
        </w:tc>
        <w:tc>
          <w:tcPr>
            <w:tcW w:w="4140" w:type="dxa"/>
            <w:tcBorders>
              <w:top w:val="nil"/>
              <w:left w:val="nil"/>
              <w:bottom w:val="nil"/>
              <w:right w:val="nil"/>
            </w:tcBorders>
            <w:shd w:val="clear" w:color="auto" w:fill="92D050"/>
          </w:tcPr>
          <w:p w14:paraId="04D5A513" w14:textId="77777777" w:rsidR="00C01301" w:rsidRPr="00182694" w:rsidRDefault="00C01301" w:rsidP="00C01301">
            <w:pPr>
              <w:pStyle w:val="ListParagraph"/>
              <w:numPr>
                <w:ilvl w:val="0"/>
                <w:numId w:val="35"/>
              </w:numPr>
              <w:spacing w:after="0"/>
              <w:rPr>
                <w:sz w:val="20"/>
                <w:szCs w:val="20"/>
              </w:rPr>
            </w:pPr>
            <w:r w:rsidRPr="00182694">
              <w:rPr>
                <w:sz w:val="20"/>
                <w:szCs w:val="20"/>
                <w:lang w:val="en-GB"/>
              </w:rPr>
              <w:t>Insufficient food production and/or importation</w:t>
            </w:r>
          </w:p>
          <w:p w14:paraId="132A8207" w14:textId="77777777" w:rsidR="00182694" w:rsidRPr="00182694" w:rsidRDefault="00F57A1F" w:rsidP="00C01301">
            <w:pPr>
              <w:numPr>
                <w:ilvl w:val="0"/>
                <w:numId w:val="35"/>
              </w:numPr>
              <w:tabs>
                <w:tab w:val="clear" w:pos="360"/>
                <w:tab w:val="num" w:pos="720"/>
              </w:tabs>
              <w:spacing w:after="0"/>
              <w:rPr>
                <w:sz w:val="20"/>
                <w:szCs w:val="20"/>
              </w:rPr>
            </w:pPr>
            <w:r w:rsidRPr="00182694">
              <w:rPr>
                <w:sz w:val="20"/>
                <w:szCs w:val="20"/>
                <w:lang w:val="en-GB"/>
              </w:rPr>
              <w:t>Insufficient availability of nutritious food in local markets</w:t>
            </w:r>
          </w:p>
          <w:p w14:paraId="60CAFBE4" w14:textId="77777777" w:rsidR="00182694" w:rsidRPr="00182694" w:rsidRDefault="00F57A1F" w:rsidP="00C01301">
            <w:pPr>
              <w:numPr>
                <w:ilvl w:val="0"/>
                <w:numId w:val="35"/>
              </w:numPr>
              <w:tabs>
                <w:tab w:val="clear" w:pos="360"/>
                <w:tab w:val="num" w:pos="720"/>
              </w:tabs>
              <w:spacing w:after="0"/>
              <w:rPr>
                <w:sz w:val="20"/>
                <w:szCs w:val="20"/>
              </w:rPr>
            </w:pPr>
            <w:r w:rsidRPr="00182694">
              <w:rPr>
                <w:sz w:val="20"/>
                <w:szCs w:val="20"/>
                <w:lang w:val="en-GB"/>
              </w:rPr>
              <w:t>Insufficient quality of available foods</w:t>
            </w:r>
          </w:p>
          <w:p w14:paraId="662E4041" w14:textId="77777777" w:rsidR="00182694" w:rsidRPr="00182694" w:rsidRDefault="00F57A1F" w:rsidP="00C01301">
            <w:pPr>
              <w:numPr>
                <w:ilvl w:val="0"/>
                <w:numId w:val="35"/>
              </w:numPr>
              <w:tabs>
                <w:tab w:val="clear" w:pos="360"/>
                <w:tab w:val="num" w:pos="720"/>
              </w:tabs>
              <w:spacing w:after="0"/>
              <w:rPr>
                <w:sz w:val="20"/>
                <w:szCs w:val="20"/>
              </w:rPr>
            </w:pPr>
            <w:r w:rsidRPr="00182694">
              <w:rPr>
                <w:sz w:val="20"/>
                <w:szCs w:val="20"/>
                <w:lang w:val="en-GB"/>
              </w:rPr>
              <w:t>Food prices instability</w:t>
            </w:r>
          </w:p>
          <w:p w14:paraId="1763E312" w14:textId="77777777" w:rsidR="00182694" w:rsidRPr="00182694" w:rsidRDefault="00F57A1F" w:rsidP="00C01301">
            <w:pPr>
              <w:numPr>
                <w:ilvl w:val="0"/>
                <w:numId w:val="35"/>
              </w:numPr>
              <w:tabs>
                <w:tab w:val="clear" w:pos="360"/>
                <w:tab w:val="num" w:pos="720"/>
              </w:tabs>
              <w:spacing w:after="0"/>
              <w:rPr>
                <w:sz w:val="20"/>
                <w:szCs w:val="20"/>
              </w:rPr>
            </w:pPr>
            <w:r w:rsidRPr="00182694">
              <w:rPr>
                <w:sz w:val="20"/>
                <w:szCs w:val="20"/>
                <w:lang w:val="en-GB"/>
              </w:rPr>
              <w:t>Inadequate storage of foods, especially fresh foods</w:t>
            </w:r>
          </w:p>
          <w:p w14:paraId="6E0ADAC4" w14:textId="77777777" w:rsidR="00C01301" w:rsidRPr="00182694" w:rsidRDefault="00C01301" w:rsidP="00BF4538">
            <w:pPr>
              <w:spacing w:after="0"/>
              <w:rPr>
                <w:sz w:val="20"/>
                <w:szCs w:val="20"/>
              </w:rPr>
            </w:pPr>
            <w:r w:rsidRPr="00182694">
              <w:rPr>
                <w:sz w:val="20"/>
                <w:szCs w:val="20"/>
                <w:lang w:val="en-GB"/>
              </w:rPr>
              <w:t> </w:t>
            </w:r>
          </w:p>
        </w:tc>
      </w:tr>
      <w:tr w:rsidR="00C01301" w:rsidRPr="00182694" w14:paraId="1106A2EF" w14:textId="77777777" w:rsidTr="00BF4538">
        <w:trPr>
          <w:trHeight w:val="2614"/>
        </w:trPr>
        <w:tc>
          <w:tcPr>
            <w:tcW w:w="4590" w:type="dxa"/>
            <w:tcBorders>
              <w:top w:val="nil"/>
              <w:left w:val="nil"/>
              <w:bottom w:val="nil"/>
              <w:right w:val="nil"/>
            </w:tcBorders>
            <w:shd w:val="clear" w:color="auto" w:fill="FFC000"/>
            <w:tcMar>
              <w:top w:w="15" w:type="dxa"/>
              <w:left w:w="60" w:type="dxa"/>
              <w:bottom w:w="0" w:type="dxa"/>
              <w:right w:w="60" w:type="dxa"/>
            </w:tcMar>
            <w:hideMark/>
          </w:tcPr>
          <w:p w14:paraId="4F43A04B" w14:textId="77777777" w:rsidR="00182694" w:rsidRPr="00182694" w:rsidRDefault="00F57A1F" w:rsidP="00C01301">
            <w:pPr>
              <w:numPr>
                <w:ilvl w:val="0"/>
                <w:numId w:val="36"/>
              </w:numPr>
              <w:tabs>
                <w:tab w:val="clear" w:pos="360"/>
                <w:tab w:val="num" w:pos="720"/>
              </w:tabs>
              <w:spacing w:after="0"/>
              <w:rPr>
                <w:sz w:val="20"/>
                <w:szCs w:val="20"/>
              </w:rPr>
            </w:pPr>
            <w:r w:rsidRPr="00182694">
              <w:rPr>
                <w:sz w:val="20"/>
                <w:szCs w:val="20"/>
                <w:lang w:val="en-GB"/>
              </w:rPr>
              <w:t xml:space="preserve">Inadequate care for mothers and parenting capacities Insufficient awareness of caregivers on quality complementary feeding </w:t>
            </w:r>
          </w:p>
          <w:p w14:paraId="70694698" w14:textId="77777777" w:rsidR="00182694" w:rsidRPr="00182694" w:rsidRDefault="00F57A1F" w:rsidP="00C01301">
            <w:pPr>
              <w:numPr>
                <w:ilvl w:val="0"/>
                <w:numId w:val="36"/>
              </w:numPr>
              <w:tabs>
                <w:tab w:val="clear" w:pos="360"/>
                <w:tab w:val="num" w:pos="720"/>
              </w:tabs>
              <w:spacing w:after="0"/>
              <w:rPr>
                <w:sz w:val="20"/>
                <w:szCs w:val="20"/>
              </w:rPr>
            </w:pPr>
            <w:r w:rsidRPr="00182694">
              <w:rPr>
                <w:sz w:val="20"/>
                <w:szCs w:val="20"/>
                <w:highlight w:val="yellow"/>
              </w:rPr>
              <w:t>Nutrition dense complementary foods not affordable</w:t>
            </w:r>
          </w:p>
          <w:p w14:paraId="11C61DE6" w14:textId="77777777" w:rsidR="00182694" w:rsidRPr="00182694" w:rsidRDefault="00F57A1F" w:rsidP="00C01301">
            <w:pPr>
              <w:numPr>
                <w:ilvl w:val="0"/>
                <w:numId w:val="36"/>
              </w:numPr>
              <w:tabs>
                <w:tab w:val="clear" w:pos="360"/>
                <w:tab w:val="num" w:pos="720"/>
              </w:tabs>
              <w:spacing w:after="0"/>
              <w:rPr>
                <w:sz w:val="20"/>
                <w:szCs w:val="20"/>
              </w:rPr>
            </w:pPr>
            <w:r w:rsidRPr="00182694">
              <w:rPr>
                <w:sz w:val="20"/>
                <w:szCs w:val="20"/>
                <w:lang w:val="en-GB"/>
              </w:rPr>
              <w:t>Lack of caregivers’ control over resources</w:t>
            </w:r>
          </w:p>
          <w:p w14:paraId="7875AA96" w14:textId="77777777" w:rsidR="00182694" w:rsidRPr="00182694" w:rsidRDefault="00F57A1F" w:rsidP="00C01301">
            <w:pPr>
              <w:numPr>
                <w:ilvl w:val="0"/>
                <w:numId w:val="36"/>
              </w:numPr>
              <w:tabs>
                <w:tab w:val="clear" w:pos="360"/>
                <w:tab w:val="num" w:pos="720"/>
              </w:tabs>
              <w:spacing w:after="0"/>
              <w:rPr>
                <w:sz w:val="20"/>
                <w:szCs w:val="20"/>
              </w:rPr>
            </w:pPr>
            <w:r w:rsidRPr="00182694">
              <w:rPr>
                <w:sz w:val="20"/>
                <w:szCs w:val="20"/>
                <w:highlight w:val="yellow"/>
                <w:lang w:val="en-GB"/>
              </w:rPr>
              <w:t>Lack of caregivers’ time for optimal feeding and care due to other priorities (e.g. work or mono-parental families)</w:t>
            </w:r>
          </w:p>
          <w:p w14:paraId="551E38DF" w14:textId="77777777" w:rsidR="00C01301" w:rsidRPr="00182694" w:rsidRDefault="00F57A1F" w:rsidP="00C01301">
            <w:pPr>
              <w:numPr>
                <w:ilvl w:val="0"/>
                <w:numId w:val="36"/>
              </w:numPr>
              <w:tabs>
                <w:tab w:val="clear" w:pos="360"/>
                <w:tab w:val="num" w:pos="720"/>
              </w:tabs>
              <w:spacing w:after="0"/>
              <w:rPr>
                <w:sz w:val="20"/>
                <w:szCs w:val="20"/>
              </w:rPr>
            </w:pPr>
            <w:r w:rsidRPr="00182694">
              <w:rPr>
                <w:sz w:val="20"/>
                <w:szCs w:val="20"/>
                <w:lang w:val="en-GB"/>
              </w:rPr>
              <w:t> Inadequate physical and mental well-being of caregivers</w:t>
            </w:r>
          </w:p>
        </w:tc>
        <w:tc>
          <w:tcPr>
            <w:tcW w:w="1170" w:type="dxa"/>
            <w:tcBorders>
              <w:top w:val="nil"/>
              <w:left w:val="nil"/>
              <w:bottom w:val="nil"/>
              <w:right w:val="nil"/>
            </w:tcBorders>
            <w:shd w:val="clear" w:color="auto" w:fill="FFC000"/>
            <w:tcMar>
              <w:top w:w="15" w:type="dxa"/>
              <w:left w:w="60" w:type="dxa"/>
              <w:bottom w:w="0" w:type="dxa"/>
              <w:right w:w="60" w:type="dxa"/>
            </w:tcMar>
            <w:vAlign w:val="center"/>
            <w:hideMark/>
          </w:tcPr>
          <w:p w14:paraId="0378B0EF" w14:textId="77777777" w:rsidR="00C01301" w:rsidRPr="00182694" w:rsidRDefault="00C01301" w:rsidP="00BF4538">
            <w:pPr>
              <w:spacing w:after="0"/>
              <w:jc w:val="center"/>
              <w:rPr>
                <w:sz w:val="20"/>
                <w:szCs w:val="20"/>
              </w:rPr>
            </w:pPr>
            <w:r w:rsidRPr="00182694">
              <w:rPr>
                <w:b/>
                <w:bCs/>
                <w:sz w:val="20"/>
                <w:szCs w:val="20"/>
                <w:lang w:val="en-GB"/>
              </w:rPr>
              <w:t>Barriers to adequate feeding and care</w:t>
            </w:r>
          </w:p>
          <w:p w14:paraId="48288635" w14:textId="77777777" w:rsidR="00C01301" w:rsidRPr="00182694" w:rsidRDefault="00C01301" w:rsidP="00BF4538">
            <w:pPr>
              <w:spacing w:after="0"/>
              <w:jc w:val="center"/>
              <w:rPr>
                <w:sz w:val="20"/>
                <w:szCs w:val="20"/>
              </w:rPr>
            </w:pPr>
          </w:p>
        </w:tc>
        <w:tc>
          <w:tcPr>
            <w:tcW w:w="4140" w:type="dxa"/>
            <w:tcBorders>
              <w:top w:val="nil"/>
              <w:left w:val="nil"/>
              <w:bottom w:val="nil"/>
              <w:right w:val="nil"/>
            </w:tcBorders>
            <w:shd w:val="clear" w:color="auto" w:fill="FFC000"/>
          </w:tcPr>
          <w:p w14:paraId="55B180BC" w14:textId="77777777" w:rsidR="00182694" w:rsidRPr="00182694" w:rsidRDefault="00F57A1F" w:rsidP="00C01301">
            <w:pPr>
              <w:numPr>
                <w:ilvl w:val="0"/>
                <w:numId w:val="37"/>
              </w:numPr>
              <w:tabs>
                <w:tab w:val="clear" w:pos="360"/>
                <w:tab w:val="num" w:pos="720"/>
              </w:tabs>
              <w:spacing w:after="0"/>
              <w:rPr>
                <w:sz w:val="20"/>
                <w:szCs w:val="20"/>
              </w:rPr>
            </w:pPr>
            <w:r w:rsidRPr="00182694">
              <w:rPr>
                <w:sz w:val="20"/>
                <w:szCs w:val="20"/>
                <w:lang w:val="en-GB"/>
              </w:rPr>
              <w:t>IYCF policies and regulation at central and local level not adequate</w:t>
            </w:r>
          </w:p>
          <w:p w14:paraId="15A49234" w14:textId="77777777" w:rsidR="00182694" w:rsidRPr="00182694" w:rsidRDefault="00F57A1F" w:rsidP="00C01301">
            <w:pPr>
              <w:numPr>
                <w:ilvl w:val="0"/>
                <w:numId w:val="37"/>
              </w:numPr>
              <w:tabs>
                <w:tab w:val="clear" w:pos="360"/>
                <w:tab w:val="num" w:pos="720"/>
              </w:tabs>
              <w:spacing w:after="0"/>
              <w:rPr>
                <w:sz w:val="20"/>
                <w:szCs w:val="20"/>
              </w:rPr>
            </w:pPr>
            <w:r w:rsidRPr="00182694">
              <w:rPr>
                <w:sz w:val="20"/>
                <w:szCs w:val="20"/>
                <w:lang w:val="en-GB"/>
              </w:rPr>
              <w:t>IYCF services and support for adequate care (e.g. health services, IYCF counselling services, women support groups) are not available or not functional</w:t>
            </w:r>
          </w:p>
          <w:p w14:paraId="65898990" w14:textId="77777777" w:rsidR="00182694" w:rsidRPr="00182694" w:rsidRDefault="00F57A1F" w:rsidP="00C01301">
            <w:pPr>
              <w:numPr>
                <w:ilvl w:val="0"/>
                <w:numId w:val="37"/>
              </w:numPr>
              <w:tabs>
                <w:tab w:val="clear" w:pos="360"/>
                <w:tab w:val="num" w:pos="720"/>
              </w:tabs>
              <w:spacing w:after="0"/>
              <w:rPr>
                <w:sz w:val="20"/>
                <w:szCs w:val="20"/>
              </w:rPr>
            </w:pPr>
            <w:r w:rsidRPr="00182694">
              <w:rPr>
                <w:sz w:val="20"/>
                <w:szCs w:val="20"/>
                <w:lang w:val="en-GB"/>
              </w:rPr>
              <w:t>Insufficient availability of nutrition dense complementary foods</w:t>
            </w:r>
          </w:p>
          <w:p w14:paraId="686F4DC0" w14:textId="77777777" w:rsidR="00182694" w:rsidRPr="00182694" w:rsidRDefault="00F57A1F" w:rsidP="00C01301">
            <w:pPr>
              <w:numPr>
                <w:ilvl w:val="0"/>
                <w:numId w:val="37"/>
              </w:numPr>
              <w:tabs>
                <w:tab w:val="clear" w:pos="360"/>
                <w:tab w:val="num" w:pos="720"/>
              </w:tabs>
              <w:spacing w:after="0"/>
              <w:rPr>
                <w:sz w:val="20"/>
                <w:szCs w:val="20"/>
              </w:rPr>
            </w:pPr>
            <w:r w:rsidRPr="00182694">
              <w:rPr>
                <w:sz w:val="20"/>
                <w:szCs w:val="20"/>
                <w:lang w:val="en-GB"/>
              </w:rPr>
              <w:t>Lack of social protection policies (e.g. maternity leave/support, support to families with multiple young children etc.)</w:t>
            </w:r>
          </w:p>
        </w:tc>
      </w:tr>
      <w:tr w:rsidR="00C01301" w:rsidRPr="00182694" w14:paraId="39FD5335" w14:textId="77777777" w:rsidTr="00BF4538">
        <w:trPr>
          <w:trHeight w:val="4017"/>
        </w:trPr>
        <w:tc>
          <w:tcPr>
            <w:tcW w:w="4590" w:type="dxa"/>
            <w:tcBorders>
              <w:top w:val="nil"/>
              <w:left w:val="nil"/>
              <w:bottom w:val="nil"/>
              <w:right w:val="nil"/>
            </w:tcBorders>
            <w:shd w:val="clear" w:color="auto" w:fill="BDD6EE"/>
            <w:tcMar>
              <w:top w:w="15" w:type="dxa"/>
              <w:left w:w="60" w:type="dxa"/>
              <w:bottom w:w="0" w:type="dxa"/>
              <w:right w:w="60" w:type="dxa"/>
            </w:tcMar>
            <w:hideMark/>
          </w:tcPr>
          <w:p w14:paraId="46A558AE" w14:textId="77777777" w:rsidR="00C01301" w:rsidRPr="00182694" w:rsidRDefault="00C01301" w:rsidP="00C01301">
            <w:pPr>
              <w:pStyle w:val="ListParagraph"/>
              <w:numPr>
                <w:ilvl w:val="0"/>
                <w:numId w:val="39"/>
              </w:numPr>
              <w:spacing w:after="0"/>
              <w:rPr>
                <w:sz w:val="20"/>
                <w:szCs w:val="20"/>
              </w:rPr>
            </w:pPr>
            <w:r w:rsidRPr="00182694">
              <w:rPr>
                <w:sz w:val="20"/>
                <w:szCs w:val="20"/>
                <w:lang w:val="en-GB"/>
              </w:rPr>
              <w:t>Inadequate health seeking behaviour (e.g. lack of knowledge of malnutrition and other disease, traditional beliefs and perceptions)</w:t>
            </w:r>
          </w:p>
          <w:p w14:paraId="5047EB58" w14:textId="77777777" w:rsidR="00C01301" w:rsidRPr="00182694" w:rsidRDefault="00C01301" w:rsidP="00C01301">
            <w:pPr>
              <w:pStyle w:val="ListParagraph"/>
              <w:numPr>
                <w:ilvl w:val="0"/>
                <w:numId w:val="39"/>
              </w:numPr>
              <w:spacing w:after="0"/>
              <w:rPr>
                <w:sz w:val="20"/>
                <w:szCs w:val="20"/>
              </w:rPr>
            </w:pPr>
            <w:r w:rsidRPr="00182694">
              <w:rPr>
                <w:sz w:val="20"/>
                <w:szCs w:val="20"/>
                <w:lang w:val="en-GB"/>
              </w:rPr>
              <w:t>Lack of knowledge on health services</w:t>
            </w:r>
          </w:p>
          <w:p w14:paraId="721C6A87" w14:textId="77777777" w:rsidR="00C01301" w:rsidRPr="00182694" w:rsidRDefault="00C01301" w:rsidP="00C01301">
            <w:pPr>
              <w:pStyle w:val="ListParagraph"/>
              <w:numPr>
                <w:ilvl w:val="0"/>
                <w:numId w:val="39"/>
              </w:numPr>
              <w:spacing w:after="0"/>
              <w:rPr>
                <w:sz w:val="20"/>
                <w:szCs w:val="20"/>
              </w:rPr>
            </w:pPr>
            <w:r w:rsidRPr="00182694">
              <w:rPr>
                <w:sz w:val="20"/>
                <w:szCs w:val="20"/>
                <w:highlight w:val="yellow"/>
                <w:lang w:val="en-GB"/>
              </w:rPr>
              <w:t xml:space="preserve">Health services not affordable due to out of pocket expenses (e.g. consultation, medication, food and accommodation during hospitalisation, etc.) </w:t>
            </w:r>
          </w:p>
          <w:p w14:paraId="472FBBE5" w14:textId="77777777" w:rsidR="00C01301" w:rsidRPr="00182694" w:rsidRDefault="00C01301" w:rsidP="00C01301">
            <w:pPr>
              <w:pStyle w:val="ListParagraph"/>
              <w:numPr>
                <w:ilvl w:val="0"/>
                <w:numId w:val="39"/>
              </w:numPr>
              <w:spacing w:after="0"/>
              <w:rPr>
                <w:sz w:val="20"/>
                <w:szCs w:val="20"/>
              </w:rPr>
            </w:pPr>
            <w:r w:rsidRPr="00182694">
              <w:rPr>
                <w:sz w:val="20"/>
                <w:szCs w:val="20"/>
                <w:highlight w:val="yellow"/>
                <w:lang w:val="en-GB"/>
              </w:rPr>
              <w:t>Transportation to health services not affordable</w:t>
            </w:r>
          </w:p>
          <w:p w14:paraId="0D482DF7" w14:textId="77777777" w:rsidR="00C01301" w:rsidRPr="00182694" w:rsidRDefault="00C01301" w:rsidP="00C01301">
            <w:pPr>
              <w:pStyle w:val="ListParagraph"/>
              <w:numPr>
                <w:ilvl w:val="0"/>
                <w:numId w:val="39"/>
              </w:numPr>
              <w:spacing w:after="0"/>
              <w:rPr>
                <w:sz w:val="20"/>
                <w:szCs w:val="20"/>
              </w:rPr>
            </w:pPr>
            <w:r w:rsidRPr="00182694">
              <w:rPr>
                <w:sz w:val="20"/>
                <w:szCs w:val="20"/>
                <w:highlight w:val="yellow"/>
                <w:lang w:val="en-GB"/>
              </w:rPr>
              <w:t>Opportunity costs of seeking health and nutrition services are considered too high</w:t>
            </w:r>
          </w:p>
          <w:p w14:paraId="2518142E" w14:textId="77777777" w:rsidR="00C01301" w:rsidRPr="00182694" w:rsidRDefault="00C01301" w:rsidP="00C01301">
            <w:pPr>
              <w:pStyle w:val="ListParagraph"/>
              <w:numPr>
                <w:ilvl w:val="0"/>
                <w:numId w:val="39"/>
              </w:numPr>
              <w:spacing w:after="0"/>
              <w:rPr>
                <w:sz w:val="20"/>
                <w:szCs w:val="20"/>
              </w:rPr>
            </w:pPr>
            <w:r w:rsidRPr="00182694">
              <w:rPr>
                <w:sz w:val="20"/>
                <w:szCs w:val="20"/>
                <w:lang w:val="en-GB"/>
              </w:rPr>
              <w:t xml:space="preserve">Health services physically not accessible </w:t>
            </w:r>
          </w:p>
          <w:p w14:paraId="27CAEC13" w14:textId="77777777" w:rsidR="00C01301" w:rsidRPr="00182694" w:rsidRDefault="00C01301" w:rsidP="00C01301">
            <w:pPr>
              <w:pStyle w:val="ListParagraph"/>
              <w:numPr>
                <w:ilvl w:val="0"/>
                <w:numId w:val="39"/>
              </w:numPr>
              <w:spacing w:after="0"/>
              <w:rPr>
                <w:sz w:val="20"/>
                <w:szCs w:val="20"/>
              </w:rPr>
            </w:pPr>
            <w:r w:rsidRPr="00182694">
              <w:rPr>
                <w:sz w:val="20"/>
                <w:szCs w:val="20"/>
                <w:lang w:val="en-GB"/>
              </w:rPr>
              <w:t>Lack of awareness on hygiene and sanitation practices</w:t>
            </w:r>
          </w:p>
          <w:p w14:paraId="2ECF53B2" w14:textId="77777777" w:rsidR="00C01301" w:rsidRPr="00182694" w:rsidRDefault="00C01301" w:rsidP="00C01301">
            <w:pPr>
              <w:pStyle w:val="ListParagraph"/>
              <w:numPr>
                <w:ilvl w:val="0"/>
                <w:numId w:val="39"/>
              </w:numPr>
              <w:spacing w:after="0"/>
              <w:rPr>
                <w:sz w:val="20"/>
                <w:szCs w:val="20"/>
              </w:rPr>
            </w:pPr>
            <w:r w:rsidRPr="00182694">
              <w:rPr>
                <w:sz w:val="20"/>
                <w:szCs w:val="20"/>
                <w:highlight w:val="yellow"/>
                <w:lang w:val="en-GB"/>
              </w:rPr>
              <w:t>Hygiene items for general and specific needs (e.g. new-born hygiene, menstrual hygiene, etc.) not affordable</w:t>
            </w:r>
            <w:r w:rsidRPr="00182694">
              <w:rPr>
                <w:sz w:val="20"/>
                <w:szCs w:val="20"/>
                <w:lang w:val="en-GB"/>
              </w:rPr>
              <w:t xml:space="preserve"> </w:t>
            </w:r>
          </w:p>
          <w:p w14:paraId="62CA8F61" w14:textId="77777777" w:rsidR="00C01301" w:rsidRPr="00182694" w:rsidRDefault="00C01301" w:rsidP="00C01301">
            <w:pPr>
              <w:pStyle w:val="ListParagraph"/>
              <w:numPr>
                <w:ilvl w:val="0"/>
                <w:numId w:val="39"/>
              </w:numPr>
              <w:spacing w:after="0"/>
              <w:rPr>
                <w:sz w:val="20"/>
                <w:szCs w:val="20"/>
              </w:rPr>
            </w:pPr>
            <w:r w:rsidRPr="00182694">
              <w:rPr>
                <w:sz w:val="20"/>
                <w:szCs w:val="20"/>
                <w:highlight w:val="yellow"/>
                <w:lang w:val="en-GB"/>
              </w:rPr>
              <w:t>Safe water and water treatment not affordable</w:t>
            </w:r>
          </w:p>
        </w:tc>
        <w:tc>
          <w:tcPr>
            <w:tcW w:w="1170" w:type="dxa"/>
            <w:tcBorders>
              <w:top w:val="nil"/>
              <w:left w:val="nil"/>
              <w:bottom w:val="nil"/>
              <w:right w:val="nil"/>
            </w:tcBorders>
            <w:shd w:val="clear" w:color="auto" w:fill="BDD6EE"/>
            <w:tcMar>
              <w:top w:w="15" w:type="dxa"/>
              <w:left w:w="60" w:type="dxa"/>
              <w:bottom w:w="0" w:type="dxa"/>
              <w:right w:w="60" w:type="dxa"/>
            </w:tcMar>
            <w:vAlign w:val="center"/>
            <w:hideMark/>
          </w:tcPr>
          <w:p w14:paraId="0FEB7387" w14:textId="77777777" w:rsidR="00C01301" w:rsidRPr="00182694" w:rsidRDefault="00C01301" w:rsidP="00BF4538">
            <w:pPr>
              <w:spacing w:after="0"/>
              <w:jc w:val="center"/>
              <w:rPr>
                <w:sz w:val="20"/>
                <w:szCs w:val="20"/>
              </w:rPr>
            </w:pPr>
            <w:r w:rsidRPr="00182694">
              <w:rPr>
                <w:b/>
                <w:bCs/>
                <w:sz w:val="20"/>
                <w:szCs w:val="20"/>
                <w:lang w:val="en-GB"/>
              </w:rPr>
              <w:t>Barriers to healthy environment</w:t>
            </w:r>
          </w:p>
        </w:tc>
        <w:tc>
          <w:tcPr>
            <w:tcW w:w="4140" w:type="dxa"/>
            <w:tcBorders>
              <w:top w:val="nil"/>
              <w:left w:val="nil"/>
              <w:bottom w:val="nil"/>
              <w:right w:val="nil"/>
            </w:tcBorders>
            <w:shd w:val="clear" w:color="auto" w:fill="BDD6EE"/>
          </w:tcPr>
          <w:p w14:paraId="56BBBC1D" w14:textId="77777777" w:rsidR="00182694" w:rsidRPr="00182694" w:rsidRDefault="00F57A1F" w:rsidP="00C01301">
            <w:pPr>
              <w:numPr>
                <w:ilvl w:val="0"/>
                <w:numId w:val="38"/>
              </w:numPr>
              <w:tabs>
                <w:tab w:val="clear" w:pos="360"/>
                <w:tab w:val="num" w:pos="720"/>
              </w:tabs>
              <w:spacing w:after="0"/>
              <w:rPr>
                <w:sz w:val="20"/>
                <w:szCs w:val="20"/>
              </w:rPr>
            </w:pPr>
            <w:r w:rsidRPr="00182694">
              <w:rPr>
                <w:sz w:val="20"/>
                <w:szCs w:val="20"/>
                <w:lang w:val="en-GB"/>
              </w:rPr>
              <w:t>Lack of knowledge on existence of services</w:t>
            </w:r>
          </w:p>
          <w:p w14:paraId="7B2C759B" w14:textId="77777777" w:rsidR="00182694" w:rsidRPr="00182694" w:rsidRDefault="00F57A1F" w:rsidP="00C01301">
            <w:pPr>
              <w:numPr>
                <w:ilvl w:val="0"/>
                <w:numId w:val="38"/>
              </w:numPr>
              <w:tabs>
                <w:tab w:val="clear" w:pos="360"/>
                <w:tab w:val="num" w:pos="720"/>
              </w:tabs>
              <w:spacing w:after="0"/>
              <w:rPr>
                <w:sz w:val="20"/>
                <w:szCs w:val="20"/>
              </w:rPr>
            </w:pPr>
            <w:r w:rsidRPr="00182694">
              <w:rPr>
                <w:sz w:val="20"/>
                <w:szCs w:val="20"/>
                <w:lang w:val="en-GB"/>
              </w:rPr>
              <w:t>Health services not available</w:t>
            </w:r>
          </w:p>
          <w:p w14:paraId="73A8A9AD" w14:textId="77777777" w:rsidR="00182694" w:rsidRPr="00182694" w:rsidRDefault="00F57A1F" w:rsidP="00C01301">
            <w:pPr>
              <w:numPr>
                <w:ilvl w:val="0"/>
                <w:numId w:val="38"/>
              </w:numPr>
              <w:tabs>
                <w:tab w:val="clear" w:pos="360"/>
                <w:tab w:val="num" w:pos="720"/>
              </w:tabs>
              <w:spacing w:after="0"/>
              <w:rPr>
                <w:sz w:val="20"/>
                <w:szCs w:val="20"/>
              </w:rPr>
            </w:pPr>
            <w:r w:rsidRPr="00182694">
              <w:rPr>
                <w:sz w:val="20"/>
                <w:szCs w:val="20"/>
                <w:lang w:val="en-GB"/>
              </w:rPr>
              <w:t>Health service of insufficient quality</w:t>
            </w:r>
          </w:p>
          <w:p w14:paraId="2882411E" w14:textId="77777777" w:rsidR="00182694" w:rsidRPr="00182694" w:rsidRDefault="00F57A1F" w:rsidP="00C01301">
            <w:pPr>
              <w:numPr>
                <w:ilvl w:val="0"/>
                <w:numId w:val="38"/>
              </w:numPr>
              <w:tabs>
                <w:tab w:val="clear" w:pos="360"/>
                <w:tab w:val="num" w:pos="720"/>
              </w:tabs>
              <w:spacing w:after="0"/>
              <w:rPr>
                <w:sz w:val="20"/>
                <w:szCs w:val="20"/>
              </w:rPr>
            </w:pPr>
            <w:r w:rsidRPr="00182694">
              <w:rPr>
                <w:sz w:val="20"/>
                <w:szCs w:val="20"/>
                <w:lang w:val="en-GB"/>
              </w:rPr>
              <w:t>Therapeutic foods, medication or vaccinations are not available</w:t>
            </w:r>
          </w:p>
          <w:p w14:paraId="2808EBB3" w14:textId="77777777" w:rsidR="00182694" w:rsidRPr="00182694" w:rsidRDefault="00F57A1F" w:rsidP="00C01301">
            <w:pPr>
              <w:numPr>
                <w:ilvl w:val="0"/>
                <w:numId w:val="38"/>
              </w:numPr>
              <w:tabs>
                <w:tab w:val="clear" w:pos="360"/>
                <w:tab w:val="num" w:pos="720"/>
              </w:tabs>
              <w:spacing w:after="0"/>
              <w:rPr>
                <w:sz w:val="20"/>
                <w:szCs w:val="20"/>
              </w:rPr>
            </w:pPr>
            <w:r w:rsidRPr="00182694">
              <w:rPr>
                <w:sz w:val="20"/>
                <w:szCs w:val="20"/>
                <w:lang w:val="en-GB"/>
              </w:rPr>
              <w:t>Unfavourable disease environment</w:t>
            </w:r>
          </w:p>
          <w:p w14:paraId="7946F6A9" w14:textId="77777777" w:rsidR="00182694" w:rsidRPr="00182694" w:rsidRDefault="00F57A1F" w:rsidP="00C01301">
            <w:pPr>
              <w:numPr>
                <w:ilvl w:val="0"/>
                <w:numId w:val="38"/>
              </w:numPr>
              <w:tabs>
                <w:tab w:val="clear" w:pos="360"/>
                <w:tab w:val="num" w:pos="720"/>
              </w:tabs>
              <w:spacing w:after="0"/>
              <w:rPr>
                <w:sz w:val="20"/>
                <w:szCs w:val="20"/>
              </w:rPr>
            </w:pPr>
            <w:r w:rsidRPr="00182694">
              <w:rPr>
                <w:sz w:val="20"/>
                <w:szCs w:val="20"/>
                <w:lang w:val="en-GB"/>
              </w:rPr>
              <w:t>Hygiene and sanitation items not available in the local market</w:t>
            </w:r>
          </w:p>
          <w:p w14:paraId="327199EC" w14:textId="77777777" w:rsidR="00182694" w:rsidRPr="00182694" w:rsidRDefault="00F57A1F" w:rsidP="00C01301">
            <w:pPr>
              <w:numPr>
                <w:ilvl w:val="0"/>
                <w:numId w:val="38"/>
              </w:numPr>
              <w:tabs>
                <w:tab w:val="clear" w:pos="360"/>
                <w:tab w:val="num" w:pos="720"/>
              </w:tabs>
              <w:spacing w:after="0"/>
              <w:rPr>
                <w:sz w:val="20"/>
                <w:szCs w:val="20"/>
              </w:rPr>
            </w:pPr>
            <w:r w:rsidRPr="00182694">
              <w:rPr>
                <w:sz w:val="20"/>
                <w:szCs w:val="20"/>
                <w:lang w:val="en-GB"/>
              </w:rPr>
              <w:t>Inadequate availability and quality of water at household, community and health facilities level</w:t>
            </w:r>
          </w:p>
          <w:p w14:paraId="4B2AB532" w14:textId="77777777" w:rsidR="00182694" w:rsidRPr="00182694" w:rsidRDefault="00F57A1F" w:rsidP="00C01301">
            <w:pPr>
              <w:numPr>
                <w:ilvl w:val="0"/>
                <w:numId w:val="38"/>
              </w:numPr>
              <w:tabs>
                <w:tab w:val="clear" w:pos="360"/>
                <w:tab w:val="num" w:pos="720"/>
              </w:tabs>
              <w:spacing w:after="0"/>
              <w:rPr>
                <w:sz w:val="20"/>
                <w:szCs w:val="20"/>
              </w:rPr>
            </w:pPr>
            <w:r w:rsidRPr="00182694">
              <w:rPr>
                <w:sz w:val="20"/>
                <w:szCs w:val="20"/>
                <w:lang w:val="en-GB"/>
              </w:rPr>
              <w:t>Inadequate water and sanitation infrastructure</w:t>
            </w:r>
          </w:p>
          <w:p w14:paraId="40761D6D" w14:textId="77777777" w:rsidR="00182694" w:rsidRPr="00182694" w:rsidRDefault="00F57A1F" w:rsidP="00C01301">
            <w:pPr>
              <w:numPr>
                <w:ilvl w:val="0"/>
                <w:numId w:val="38"/>
              </w:numPr>
              <w:tabs>
                <w:tab w:val="clear" w:pos="360"/>
                <w:tab w:val="num" w:pos="720"/>
              </w:tabs>
              <w:spacing w:after="0"/>
              <w:rPr>
                <w:sz w:val="20"/>
                <w:szCs w:val="20"/>
              </w:rPr>
            </w:pPr>
            <w:r w:rsidRPr="00182694">
              <w:rPr>
                <w:sz w:val="20"/>
                <w:szCs w:val="20"/>
                <w:lang w:val="en-GB"/>
              </w:rPr>
              <w:t>Inadequate and insufficient water storage at household and health facility level</w:t>
            </w:r>
          </w:p>
          <w:p w14:paraId="0E53A569" w14:textId="77777777" w:rsidR="00182694" w:rsidRPr="00182694" w:rsidRDefault="00F57A1F" w:rsidP="00C01301">
            <w:pPr>
              <w:numPr>
                <w:ilvl w:val="0"/>
                <w:numId w:val="38"/>
              </w:numPr>
              <w:tabs>
                <w:tab w:val="clear" w:pos="360"/>
                <w:tab w:val="num" w:pos="720"/>
              </w:tabs>
              <w:spacing w:after="0"/>
              <w:rPr>
                <w:sz w:val="20"/>
                <w:szCs w:val="20"/>
              </w:rPr>
            </w:pPr>
            <w:r w:rsidRPr="00182694">
              <w:rPr>
                <w:sz w:val="20"/>
                <w:szCs w:val="20"/>
                <w:lang w:val="en-GB"/>
              </w:rPr>
              <w:t>Lack of hygiene items in the market</w:t>
            </w:r>
          </w:p>
        </w:tc>
      </w:tr>
    </w:tbl>
    <w:p w14:paraId="22C114E1" w14:textId="77777777" w:rsidR="00C01301" w:rsidRPr="00C01301" w:rsidRDefault="00C01301" w:rsidP="00566ABA">
      <w:pPr>
        <w:jc w:val="both"/>
        <w:rPr>
          <w:highlight w:val="yellow"/>
        </w:rPr>
      </w:pPr>
    </w:p>
    <w:p w14:paraId="18F55848" w14:textId="209DD017" w:rsidR="0036176B" w:rsidRPr="00BA41E1" w:rsidRDefault="0036176B" w:rsidP="00566ABA">
      <w:pPr>
        <w:jc w:val="both"/>
        <w:rPr>
          <w:lang w:val="en-GB"/>
        </w:rPr>
      </w:pPr>
      <w:r w:rsidRPr="00BA41E1">
        <w:rPr>
          <w:highlight w:val="yellow"/>
          <w:lang w:val="en-GB"/>
        </w:rPr>
        <w:t>Economic barriers</w:t>
      </w:r>
    </w:p>
    <w:p w14:paraId="1C3ADB22" w14:textId="77777777" w:rsidR="0036176B" w:rsidRPr="00C01301" w:rsidRDefault="0036176B" w:rsidP="00566ABA">
      <w:pPr>
        <w:jc w:val="both"/>
      </w:pPr>
    </w:p>
    <w:p w14:paraId="6B5267AB" w14:textId="284F9696" w:rsidR="00352621" w:rsidRPr="00BA41E1" w:rsidRDefault="00352621" w:rsidP="00566ABA">
      <w:pPr>
        <w:pStyle w:val="Heading1"/>
        <w:numPr>
          <w:ilvl w:val="0"/>
          <w:numId w:val="0"/>
        </w:numPr>
        <w:jc w:val="both"/>
        <w:rPr>
          <w:lang w:val="en-GB"/>
        </w:rPr>
      </w:pPr>
      <w:bookmarkStart w:id="12" w:name="_Toc41558469"/>
      <w:r w:rsidRPr="00BA41E1">
        <w:rPr>
          <w:lang w:val="en-GB"/>
        </w:rPr>
        <w:t>Annex 2: Summary of evidence base</w:t>
      </w:r>
      <w:bookmarkEnd w:id="12"/>
    </w:p>
    <w:p w14:paraId="05EE52AB" w14:textId="438E2CF8" w:rsidR="007F0C70" w:rsidRPr="007F0C70" w:rsidRDefault="007F0C70" w:rsidP="00566ABA">
      <w:pPr>
        <w:jc w:val="both"/>
        <w:rPr>
          <w:i/>
          <w:iCs/>
          <w:lang w:val="en-GB"/>
        </w:rPr>
      </w:pPr>
      <w:r w:rsidRPr="007F0C70">
        <w:rPr>
          <w:i/>
          <w:iCs/>
          <w:lang w:val="en-GB"/>
        </w:rPr>
        <w:t xml:space="preserve">From: GNC (2020). </w:t>
      </w:r>
      <w:r w:rsidRPr="007F0C70">
        <w:rPr>
          <w:i/>
          <w:iCs/>
        </w:rPr>
        <w:t>Draft evidence and guidance note on the use of CVA for nutrition outcomes.</w:t>
      </w:r>
    </w:p>
    <w:p w14:paraId="226391BB" w14:textId="0C3FC828" w:rsidR="00352621" w:rsidRPr="00BA41E1" w:rsidRDefault="00352621" w:rsidP="00566ABA">
      <w:pPr>
        <w:jc w:val="both"/>
        <w:rPr>
          <w:lang w:val="en-GB"/>
        </w:rPr>
      </w:pPr>
      <w:r w:rsidRPr="00BA41E1">
        <w:rPr>
          <w:lang w:val="en-GB"/>
        </w:rPr>
        <w:t xml:space="preserve">There is a sizable and growing body of evidence on the impact of CVA on nutrition outcomes. The bulk of evidence is in development settings, but more and more studies are looking at humanitarian settings as well. The evidence is a mixture of the positive impacts, where cash transfers contributes to nutrition outcomes, and the non-significant, where no clear contribution is identifiable (Harvey et al., 2018). </w:t>
      </w:r>
    </w:p>
    <w:p w14:paraId="60DA8700" w14:textId="77777777" w:rsidR="00352621" w:rsidRPr="00BA41E1" w:rsidRDefault="00352621" w:rsidP="00566ABA">
      <w:pPr>
        <w:jc w:val="both"/>
        <w:rPr>
          <w:b/>
          <w:bCs/>
          <w:i/>
          <w:iCs/>
          <w:lang w:val="en-GB"/>
        </w:rPr>
      </w:pPr>
      <w:r w:rsidRPr="00BA41E1">
        <w:rPr>
          <w:b/>
          <w:bCs/>
          <w:i/>
          <w:iCs/>
          <w:lang w:val="en-GB"/>
        </w:rPr>
        <w:t>Underlying determinants</w:t>
      </w:r>
    </w:p>
    <w:p w14:paraId="3A7A038F" w14:textId="77777777" w:rsidR="00352621" w:rsidRPr="00BA41E1" w:rsidRDefault="00352621" w:rsidP="00566ABA">
      <w:pPr>
        <w:jc w:val="both"/>
        <w:rPr>
          <w:lang w:val="en-GB"/>
        </w:rPr>
      </w:pPr>
      <w:r w:rsidRPr="00BA41E1">
        <w:rPr>
          <w:lang w:val="en-GB"/>
        </w:rPr>
        <w:t>There is strong evidence from both development and humanitarian settings suggesting that CVA consistently increases household food expenditure and improves household food consumption and household dietary diversity (de Groot et al., Fenn 2017, Manley et al., Bailey et al., REFANI 2015, Bastagli et al.). There is ongoing debate where cash transfers or vouchers are better suited to improve household food security and how this compares with in-kind food assistance. Brief, CVA may be better than food transfers for improving dietary diversity while food transfers may be better than CVA at increasing caloric intake (Fenn 2017, Bailey). However, as Gentilini (2016) points out, the relative effectiveness of different transfer modalities cannot be generalized and although some differences emerge in terms of food consumption and dietary diversity, average impacts tend to depend on context, specific objectives, and programme design.</w:t>
      </w:r>
    </w:p>
    <w:p w14:paraId="75E768C0" w14:textId="12D1AFF8" w:rsidR="00352621" w:rsidRPr="00BA41E1" w:rsidRDefault="00352621" w:rsidP="00566ABA">
      <w:pPr>
        <w:jc w:val="both"/>
        <w:rPr>
          <w:lang w:val="en-GB"/>
        </w:rPr>
      </w:pPr>
      <w:r w:rsidRPr="00BA41E1">
        <w:rPr>
          <w:lang w:val="en-GB"/>
        </w:rPr>
        <w:t xml:space="preserve">Studies from development settings seems to suggest that cash transfers, both conditional and unconditional, can improve uptake in health services. Bastagli et al. (2016) reviewed 15 studies reporting overall effects on the use of health facilities and services, of which nine report statistically significant increases. Furthermore, three studies tested the effect of conditionalities, two finding that conditions on attending health visits led to a higher number of visits compared to transfers with no conditions. The evidence from humanitarian settings is much more limited. On the other hand, a study in Mali (Le Pont et al., 2019) did not find any evidence for the incentive value of conditional cash transfers. See chapter 3.2.3 for more information. </w:t>
      </w:r>
    </w:p>
    <w:p w14:paraId="49AA8BDB" w14:textId="77777777" w:rsidR="00352621" w:rsidRPr="00BA41E1" w:rsidRDefault="00352621" w:rsidP="00566ABA">
      <w:pPr>
        <w:jc w:val="both"/>
        <w:rPr>
          <w:lang w:val="en-GB"/>
        </w:rPr>
      </w:pPr>
      <w:r w:rsidRPr="00BA41E1">
        <w:rPr>
          <w:lang w:val="en-GB"/>
        </w:rPr>
        <w:t xml:space="preserve">While there are no peer-reviewed studies looking specifically at the impact of CVA on </w:t>
      </w:r>
      <w:r w:rsidRPr="00BA41E1">
        <w:rPr>
          <w:b/>
          <w:bCs/>
          <w:lang w:val="en-GB"/>
        </w:rPr>
        <w:t>care practices</w:t>
      </w:r>
      <w:r w:rsidRPr="00BA41E1">
        <w:rPr>
          <w:lang w:val="en-GB"/>
        </w:rPr>
        <w:t>, some programme evaluations reviewed by Bailey et al. (2012) have shown that cash transfers reduced the time spent away from home and increased time for domestic activities, including caring for children.</w:t>
      </w:r>
    </w:p>
    <w:p w14:paraId="2EC41F03" w14:textId="77777777" w:rsidR="00352621" w:rsidRPr="00BA41E1" w:rsidRDefault="00352621" w:rsidP="00566ABA">
      <w:pPr>
        <w:jc w:val="both"/>
        <w:rPr>
          <w:lang w:val="en-GB"/>
        </w:rPr>
      </w:pPr>
      <w:r w:rsidRPr="00BA41E1">
        <w:rPr>
          <w:lang w:val="en-GB"/>
        </w:rPr>
        <w:t xml:space="preserve">There is increasing evidence that CVA can increase the involvement of women in </w:t>
      </w:r>
      <w:r w:rsidRPr="00BA41E1">
        <w:rPr>
          <w:b/>
          <w:bCs/>
          <w:lang w:val="en-GB"/>
        </w:rPr>
        <w:t>decision-making</w:t>
      </w:r>
      <w:r w:rsidRPr="00BA41E1">
        <w:rPr>
          <w:lang w:val="en-GB"/>
        </w:rPr>
        <w:t xml:space="preserve"> within the household and decrease </w:t>
      </w:r>
      <w:r w:rsidRPr="00BA41E1">
        <w:rPr>
          <w:b/>
          <w:bCs/>
          <w:lang w:val="en-GB"/>
        </w:rPr>
        <w:t>intimidate partner violence</w:t>
      </w:r>
      <w:r w:rsidRPr="00BA41E1">
        <w:rPr>
          <w:lang w:val="en-GB"/>
        </w:rPr>
        <w:t xml:space="preserve"> (IPV). Cross et al. (2018) reviewed 28 studies related to CVA and gender-based violence. They found that seventy-one percent of CVA interventions had a positive impact on the equal distribution of decision-making power. Beneficiaries felt improved joint decision-making and/ or increased bargaining power in their households following CVA. On IPV, they found that eighty percent of relevant studies indicates that CVA led to a reduction in IPV, mainly due to a reduction in income-related tension, frustration, and fighting. Only one study indicated an increase in IPV associated with CVA. Also, they note that the most common positive spill-over effect across the literature was psychosocial wellbeing of women receiving CVA.</w:t>
      </w:r>
    </w:p>
    <w:p w14:paraId="07724595" w14:textId="77777777" w:rsidR="00352621" w:rsidRPr="00BA41E1" w:rsidRDefault="00352621" w:rsidP="00566ABA">
      <w:pPr>
        <w:jc w:val="both"/>
        <w:rPr>
          <w:b/>
          <w:bCs/>
          <w:i/>
          <w:iCs/>
          <w:lang w:val="en-GB"/>
        </w:rPr>
      </w:pPr>
      <w:r w:rsidRPr="00BA41E1">
        <w:rPr>
          <w:b/>
          <w:bCs/>
          <w:i/>
          <w:iCs/>
          <w:lang w:val="en-GB"/>
        </w:rPr>
        <w:t>Immediate determinants of adequate nutrition</w:t>
      </w:r>
    </w:p>
    <w:p w14:paraId="45E420C6" w14:textId="77777777" w:rsidR="00352621" w:rsidRPr="00BA41E1" w:rsidRDefault="00352621" w:rsidP="00566ABA">
      <w:pPr>
        <w:jc w:val="both"/>
        <w:rPr>
          <w:lang w:val="en-GB"/>
        </w:rPr>
      </w:pPr>
      <w:r w:rsidRPr="00BA41E1">
        <w:rPr>
          <w:lang w:val="en-GB"/>
        </w:rPr>
        <w:t xml:space="preserve">As remarked previously, CVA does not directly act upon the immediate determinants but does so indirectly through the underlying determinants. The evidence base for the impact of CVA on the dietary intake of children and women is less robust compared to the evidence at household level. Nevertheless, there is growing evidence that CVA often leads to an increase in expenditure on food for children and to improvements in the dietary diversity of individual children and women in both development and humanitarian settings (see for example Fenn et al. 2014, Fenn et al. 2017, Grijalva-Eternod et al., Kurdi et al., OPM). </w:t>
      </w:r>
    </w:p>
    <w:p w14:paraId="5BCA15E2" w14:textId="77777777" w:rsidR="00352621" w:rsidRPr="00BA41E1" w:rsidRDefault="00352621" w:rsidP="00566ABA">
      <w:pPr>
        <w:jc w:val="both"/>
        <w:rPr>
          <w:lang w:val="en-GB"/>
        </w:rPr>
      </w:pPr>
      <w:r w:rsidRPr="00BA41E1">
        <w:rPr>
          <w:lang w:val="en-GB"/>
        </w:rPr>
        <w:t>However, increased expenditure on food for children does not automatically translate into improved nutrition status. Bliss et al. (2016) researched the factors associated with the risk of acute malnutrition among children aged 6 to 36 months in households targeted by emergency cash transfers in Niger. They found that food expenditures for children and other diet-related factors were not associated with the risk of acute malnutrition. Rather, low baseline weight-for-height Z-score (WHZ), baseline household poverty status, and the occurrence of child illness were significantly associated with high risk.</w:t>
      </w:r>
    </w:p>
    <w:p w14:paraId="72B663A7" w14:textId="77777777" w:rsidR="00352621" w:rsidRPr="00BA41E1" w:rsidRDefault="00352621" w:rsidP="00566ABA">
      <w:pPr>
        <w:jc w:val="both"/>
        <w:rPr>
          <w:lang w:val="en-GB"/>
        </w:rPr>
      </w:pPr>
      <w:r w:rsidRPr="00BA41E1">
        <w:rPr>
          <w:lang w:val="en-GB"/>
        </w:rPr>
        <w:t>There is very limited evidence on the impact of CVA on treatment of child disease (Fenn, 2017). As discussed previously, CVA can increase the uptake of health services, which is likely to improve the health of children thus resulting in reduced perceived need for treatment.</w:t>
      </w:r>
    </w:p>
    <w:p w14:paraId="30CE758A" w14:textId="77777777" w:rsidR="00352621" w:rsidRPr="00BA41E1" w:rsidRDefault="00352621" w:rsidP="00566ABA">
      <w:pPr>
        <w:jc w:val="both"/>
        <w:rPr>
          <w:b/>
          <w:bCs/>
          <w:i/>
          <w:iCs/>
          <w:lang w:val="en-GB"/>
        </w:rPr>
      </w:pPr>
      <w:r w:rsidRPr="00BA41E1">
        <w:rPr>
          <w:b/>
          <w:bCs/>
          <w:i/>
          <w:iCs/>
          <w:lang w:val="en-GB"/>
        </w:rPr>
        <w:t>Nutrition outcomes for children and women</w:t>
      </w:r>
    </w:p>
    <w:p w14:paraId="4C11C3FA" w14:textId="6475FC8D" w:rsidR="00352621" w:rsidRPr="00BA41E1" w:rsidRDefault="00352621" w:rsidP="00566ABA">
      <w:pPr>
        <w:jc w:val="both"/>
        <w:rPr>
          <w:lang w:val="en-GB"/>
        </w:rPr>
      </w:pPr>
      <w:r w:rsidRPr="00BA41E1">
        <w:rPr>
          <w:lang w:val="en-GB"/>
        </w:rPr>
        <w:t xml:space="preserve">Bastagli et al. (2016) found statistically significant positive changes in anthropometric outcomes for </w:t>
      </w:r>
      <w:r w:rsidRPr="00BA41E1">
        <w:rPr>
          <w:b/>
          <w:bCs/>
          <w:lang w:val="en-GB"/>
        </w:rPr>
        <w:t>wasting</w:t>
      </w:r>
      <w:r w:rsidRPr="00BA41E1">
        <w:rPr>
          <w:lang w:val="en-GB"/>
        </w:rPr>
        <w:t xml:space="preserve"> in one out of five studies. More recent studies in humanitarian settings also documented statistically significant impacts of CVA on wasting (Bliss et al. in Niger, Kurdi et al. in Yemen, Fenn et al. in Pakistan). Other studies did however not find any impact of CVA on children’s risk of being wasted (Houghbe et al., Sibson et al., Grijalva-Eternod et al.), even though the interventions contributed to improved household food security and dietary diversity. Grijalva-Eternod et al. (2018) acknowledge that they cannot satisfactorily explain the lack of impact of the intervention on the risk of malnutrition in children and raise the question whether modifications to these interventions such as adding specialized nutritious foods or SBCC could make a difference. Sibson et al. (2018) suggest that the surge in malaria might have limited the effectiveness of the intervention. Houngbe et al. (2017, 2018) suggest that the transfer amount might not have been enough to address the needs of the household and the children’s specific needs.  Despite the lack of documented impact in some studies, Fenn (2017) concludes that there is limited but growing number of studies with statistically significant results showing positive impacts on reduced risk of being wasted in both emergency and development programmes.</w:t>
      </w:r>
    </w:p>
    <w:p w14:paraId="5B60033F" w14:textId="3A94EF9A" w:rsidR="004256EB" w:rsidRDefault="00352621" w:rsidP="00566ABA">
      <w:pPr>
        <w:jc w:val="both"/>
        <w:rPr>
          <w:lang w:val="en-GB"/>
        </w:rPr>
      </w:pPr>
      <w:r w:rsidRPr="00BA41E1">
        <w:rPr>
          <w:lang w:val="en-GB"/>
        </w:rPr>
        <w:t xml:space="preserve">As compared to wasting, the evidence base for the impact of CVA on </w:t>
      </w:r>
      <w:r w:rsidRPr="00BA41E1">
        <w:rPr>
          <w:b/>
          <w:bCs/>
          <w:lang w:val="en-GB"/>
        </w:rPr>
        <w:t>stunting</w:t>
      </w:r>
      <w:r w:rsidRPr="00BA41E1">
        <w:rPr>
          <w:lang w:val="en-GB"/>
        </w:rPr>
        <w:t xml:space="preserve"> is stronger, particularly in development settings. Bastagli et al. (2016) found statistically significant positive changes in anthropometric outcomes for stunting in 5 out of 13 studies. More recent studies also documented statistically significant impacts of CVA on stunting in both development (Ahmed et al. in Bangladesh) and humanitarian settings (Kurdi et al. in Yemen, Fenn et al. in Pakistan). Fenn et al. (2017) in Pakistan looked at the effectiveness of different CVA modalities (cash, cash double amount, fresh food vouchers) on nutrition outcomes. They found that all three modalities reduced stunting (increased mean HAZ) at both 6 months and 12 months of follow up, but only cash double amount had an impact on wasting and only at 6 month of follow up. Fenn (2017) concludes that there is growing number of studies with statistically significant results showing positive impacts on the HAZ score.</w:t>
      </w:r>
    </w:p>
    <w:p w14:paraId="4C2B7784" w14:textId="03D23072" w:rsidR="001612EF" w:rsidRDefault="004256EB" w:rsidP="004256EB">
      <w:pPr>
        <w:pStyle w:val="Heading1"/>
        <w:numPr>
          <w:ilvl w:val="0"/>
          <w:numId w:val="0"/>
        </w:numPr>
        <w:rPr>
          <w:lang w:val="en-GB"/>
        </w:rPr>
      </w:pPr>
      <w:r>
        <w:rPr>
          <w:lang w:val="en-GB"/>
        </w:rPr>
        <w:br w:type="page"/>
      </w:r>
      <w:bookmarkStart w:id="13" w:name="_Toc41558470"/>
      <w:r>
        <w:rPr>
          <w:lang w:val="en-GB"/>
        </w:rPr>
        <w:t>Annex 3: CVA for nutrition outcomes in times of COVID 19</w:t>
      </w:r>
      <w:bookmarkEnd w:id="13"/>
    </w:p>
    <w:p w14:paraId="25A5D553" w14:textId="682FD328" w:rsidR="004256EB" w:rsidRDefault="004256EB" w:rsidP="00566ABA">
      <w:pPr>
        <w:jc w:val="both"/>
        <w:rPr>
          <w:lang w:val="en-GB"/>
        </w:rPr>
      </w:pPr>
    </w:p>
    <w:p w14:paraId="00266FAF" w14:textId="77777777" w:rsidR="004256EB" w:rsidRPr="004256EB" w:rsidRDefault="004256EB" w:rsidP="004256EB">
      <w:pPr>
        <w:numPr>
          <w:ilvl w:val="0"/>
          <w:numId w:val="44"/>
        </w:numPr>
        <w:jc w:val="both"/>
      </w:pPr>
      <w:r w:rsidRPr="004256EB">
        <w:t>Impact of Covid-19 on food market systems: could prevent the use of CVA to access a nutritious diet</w:t>
      </w:r>
    </w:p>
    <w:p w14:paraId="5D973FF9" w14:textId="77777777" w:rsidR="004256EB" w:rsidRPr="004256EB" w:rsidRDefault="004256EB" w:rsidP="004256EB">
      <w:pPr>
        <w:numPr>
          <w:ilvl w:val="0"/>
          <w:numId w:val="44"/>
        </w:numPr>
        <w:jc w:val="both"/>
      </w:pPr>
      <w:r w:rsidRPr="004256EB">
        <w:t xml:space="preserve">Impact of Covid-19 on supply chains of specialized nutritious foods: could push actors to do more CVA because of potential supply shortages specialized nutritious foods </w:t>
      </w:r>
    </w:p>
    <w:p w14:paraId="0E7E2487" w14:textId="77777777" w:rsidR="004256EB" w:rsidRPr="004256EB" w:rsidRDefault="004256EB" w:rsidP="004256EB">
      <w:pPr>
        <w:numPr>
          <w:ilvl w:val="0"/>
          <w:numId w:val="44"/>
        </w:numPr>
        <w:jc w:val="both"/>
      </w:pPr>
      <w:r w:rsidRPr="004256EB">
        <w:t>Important to understand and anticipate changes to market systems for local nutrition dense foods and supply chains for specialized nutritious foods (</w:t>
      </w:r>
      <w:r w:rsidRPr="004256EB">
        <w:sym w:font="Wingdings" w:char="F0E0"/>
      </w:r>
      <w:r w:rsidRPr="004256EB">
        <w:t xml:space="preserve"> linkages to FSC and CWG)</w:t>
      </w:r>
    </w:p>
    <w:p w14:paraId="184C1494" w14:textId="77777777" w:rsidR="004256EB" w:rsidRPr="004256EB" w:rsidRDefault="004256EB" w:rsidP="004256EB">
      <w:pPr>
        <w:numPr>
          <w:ilvl w:val="0"/>
          <w:numId w:val="44"/>
        </w:numPr>
        <w:jc w:val="both"/>
      </w:pPr>
      <w:r w:rsidRPr="004256EB">
        <w:t xml:space="preserve">Measures that can be taken to reduce the risk of CVA contributing to transmission: see </w:t>
      </w:r>
      <w:hyperlink r:id="rId21" w:history="1">
        <w:r w:rsidRPr="004256EB">
          <w:rPr>
            <w:rStyle w:val="Hyperlink"/>
          </w:rPr>
          <w:t>CaLP</w:t>
        </w:r>
      </w:hyperlink>
      <w:hyperlink r:id="rId22" w:history="1">
        <w:r w:rsidRPr="004256EB">
          <w:rPr>
            <w:rStyle w:val="Hyperlink"/>
          </w:rPr>
          <w:t xml:space="preserve"> guidance</w:t>
        </w:r>
      </w:hyperlink>
    </w:p>
    <w:p w14:paraId="0DC4A224" w14:textId="1DB567DD" w:rsidR="004256EB" w:rsidRPr="004256EB" w:rsidRDefault="004256EB" w:rsidP="004256EB">
      <w:pPr>
        <w:pStyle w:val="ListParagraph"/>
        <w:numPr>
          <w:ilvl w:val="0"/>
          <w:numId w:val="44"/>
        </w:numPr>
        <w:jc w:val="both"/>
        <w:rPr>
          <w:lang w:val="en-GB"/>
        </w:rPr>
      </w:pPr>
      <w:r w:rsidRPr="004256EB">
        <w:t xml:space="preserve">horizontal and vertical expansion existing National Social Safety Nets Project (NASSP) for existing chronic poor as well as transient poor (vulnerable households and individual to be affected by COVID-19 crisis) </w:t>
      </w:r>
      <w:r w:rsidRPr="004256EB">
        <w:sym w:font="Wingdings" w:char="F0E0"/>
      </w:r>
      <w:r w:rsidRPr="004256EB">
        <w:t xml:space="preserve"> advocate for SBC integration</w:t>
      </w:r>
      <w:r>
        <w:t>?</w:t>
      </w:r>
    </w:p>
    <w:sectPr w:rsidR="004256EB" w:rsidRPr="004256EB">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2E4A79" w14:textId="77777777" w:rsidR="002D27BD" w:rsidRDefault="002D27BD" w:rsidP="005F6BCB">
      <w:pPr>
        <w:spacing w:after="0" w:line="240" w:lineRule="auto"/>
      </w:pPr>
      <w:r>
        <w:separator/>
      </w:r>
    </w:p>
  </w:endnote>
  <w:endnote w:type="continuationSeparator" w:id="0">
    <w:p w14:paraId="543B1AAD" w14:textId="77777777" w:rsidR="002D27BD" w:rsidRDefault="002D27BD" w:rsidP="005F6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8726378"/>
      <w:docPartObj>
        <w:docPartGallery w:val="Page Numbers (Bottom of Page)"/>
        <w:docPartUnique/>
      </w:docPartObj>
    </w:sdtPr>
    <w:sdtEndPr>
      <w:rPr>
        <w:noProof/>
      </w:rPr>
    </w:sdtEndPr>
    <w:sdtContent>
      <w:p w14:paraId="3890C02B" w14:textId="566CF6BE" w:rsidR="00EB0FAE" w:rsidRDefault="00EB0FA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994106" w14:textId="77777777" w:rsidR="00EB0FAE" w:rsidRDefault="00EB0F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D86E9E" w14:textId="77777777" w:rsidR="002D27BD" w:rsidRDefault="002D27BD" w:rsidP="005F6BCB">
      <w:pPr>
        <w:spacing w:after="0" w:line="240" w:lineRule="auto"/>
      </w:pPr>
      <w:r>
        <w:separator/>
      </w:r>
    </w:p>
  </w:footnote>
  <w:footnote w:type="continuationSeparator" w:id="0">
    <w:p w14:paraId="06AE91A5" w14:textId="77777777" w:rsidR="002D27BD" w:rsidRDefault="002D27BD" w:rsidP="005F6BCB">
      <w:pPr>
        <w:spacing w:after="0" w:line="240" w:lineRule="auto"/>
      </w:pPr>
      <w:r>
        <w:continuationSeparator/>
      </w:r>
    </w:p>
  </w:footnote>
  <w:footnote w:id="1">
    <w:p w14:paraId="037F4C34" w14:textId="0BDA2017" w:rsidR="00EB0FAE" w:rsidRPr="00831B14" w:rsidRDefault="00EB0FAE" w:rsidP="00FA2857">
      <w:pPr>
        <w:pStyle w:val="FootnoteText"/>
        <w:jc w:val="both"/>
        <w:rPr>
          <w:sz w:val="18"/>
          <w:szCs w:val="18"/>
          <w:lang w:val="en-GB"/>
        </w:rPr>
      </w:pPr>
      <w:r w:rsidRPr="00831B14">
        <w:rPr>
          <w:rStyle w:val="FootnoteReference"/>
          <w:sz w:val="18"/>
          <w:szCs w:val="18"/>
          <w:lang w:val="en-GB"/>
        </w:rPr>
        <w:footnoteRef/>
      </w:r>
      <w:r w:rsidRPr="00831B14">
        <w:rPr>
          <w:sz w:val="18"/>
          <w:szCs w:val="18"/>
          <w:lang w:val="en-GB"/>
        </w:rPr>
        <w:t xml:space="preserve"> Food insecurity driven by conflict, insecurity, and population displacement, remains the highest driver of need. The Cadre Harmonise analysis in October 2019 indicates that 2.9 million people across the BAY states (Borno, Adamawa and Yobe) are food insecure (CH/IPC Phase 3 to 5) – a 72 per cent increase from October to December 2018 post-harvest period findings. Besides, around 3.8 million people are projected to be food insecure in June to August 2020 and considered to be facing crisis or emergency (CH Phase 3 or 4). The nutrition situation is equally worrying, compounded by weak healthcare systems, limited access to safe drinking water and sanitation services, poor infant and young child feeding practices and poor living conditions in congested camps; up to 1.1 million children and women need immediate nutrition services. Global acute malnutrition (GAM) in children aged six to 59 months increased from 6.7 percent in 2017 to 11 percent in 2019, exceeding the WHO threshold of 10 per cent (OCHA Humanitarian Response Plan 2020 for Nigeria)</w:t>
      </w:r>
    </w:p>
  </w:footnote>
  <w:footnote w:id="2">
    <w:p w14:paraId="0B7E127A" w14:textId="49F84FED" w:rsidR="00EB0FAE" w:rsidRPr="00831B14" w:rsidRDefault="00EB0FAE" w:rsidP="00FA2857">
      <w:pPr>
        <w:pStyle w:val="FootnoteText"/>
        <w:jc w:val="both"/>
        <w:rPr>
          <w:sz w:val="18"/>
          <w:szCs w:val="18"/>
        </w:rPr>
      </w:pPr>
      <w:r w:rsidRPr="00831B14">
        <w:rPr>
          <w:rStyle w:val="FootnoteReference"/>
          <w:sz w:val="18"/>
          <w:szCs w:val="18"/>
        </w:rPr>
        <w:footnoteRef/>
      </w:r>
      <w:r w:rsidRPr="00831B14">
        <w:rPr>
          <w:sz w:val="18"/>
          <w:szCs w:val="18"/>
        </w:rPr>
        <w:t xml:space="preserve"> OCHA (2020). </w:t>
      </w:r>
      <w:r w:rsidRPr="00831B14">
        <w:rPr>
          <w:sz w:val="18"/>
          <w:szCs w:val="18"/>
          <w:lang w:val="en-GB"/>
        </w:rPr>
        <w:t>Humanitarian Response Plan for Nigeria.</w:t>
      </w:r>
    </w:p>
  </w:footnote>
  <w:footnote w:id="3">
    <w:p w14:paraId="16224F8C" w14:textId="030EC944" w:rsidR="00EB0FAE" w:rsidRPr="00831B14" w:rsidRDefault="00EB0FAE" w:rsidP="00FA2857">
      <w:pPr>
        <w:pStyle w:val="FootnoteText"/>
        <w:jc w:val="both"/>
        <w:rPr>
          <w:sz w:val="18"/>
          <w:szCs w:val="18"/>
          <w:lang w:val="en-GB"/>
        </w:rPr>
      </w:pPr>
      <w:r w:rsidRPr="00831B14">
        <w:rPr>
          <w:rStyle w:val="FootnoteReference"/>
          <w:sz w:val="18"/>
          <w:szCs w:val="18"/>
          <w:lang w:val="en-GB"/>
        </w:rPr>
        <w:footnoteRef/>
      </w:r>
      <w:r w:rsidRPr="00831B14">
        <w:rPr>
          <w:sz w:val="18"/>
          <w:szCs w:val="18"/>
          <w:lang w:val="en-GB"/>
        </w:rPr>
        <w:t xml:space="preserve"> While the specific behaviours to be targeted through SBCC will depend on context, they will typically include the following: pregnancy nutrition and care; optimal breastfeeding; appropriate complimentary feeding (including frequency, quantity, diversity); hygiene and sanitation; and quantity and diversity of complementary foods.</w:t>
      </w:r>
    </w:p>
  </w:footnote>
  <w:footnote w:id="4">
    <w:p w14:paraId="2BD79174" w14:textId="694BEDC0" w:rsidR="00EB0FAE" w:rsidRPr="00831B14" w:rsidRDefault="00EB0FAE" w:rsidP="00FA2857">
      <w:pPr>
        <w:pStyle w:val="FootnoteText"/>
        <w:jc w:val="both"/>
        <w:rPr>
          <w:sz w:val="18"/>
          <w:szCs w:val="18"/>
          <w:lang w:val="en-GB"/>
        </w:rPr>
      </w:pPr>
      <w:r w:rsidRPr="00831B14">
        <w:rPr>
          <w:rStyle w:val="FootnoteReference"/>
          <w:sz w:val="18"/>
          <w:szCs w:val="18"/>
          <w:lang w:val="en-GB"/>
        </w:rPr>
        <w:footnoteRef/>
      </w:r>
      <w:r w:rsidRPr="00831B14">
        <w:rPr>
          <w:sz w:val="18"/>
          <w:szCs w:val="18"/>
          <w:lang w:val="en-GB"/>
        </w:rPr>
        <w:t xml:space="preserve"> Priority health services include services that can significantly impact the nutritional status of the population. They include vitamin A supplementation on admission for children 6-60 months, and 6 weeks postpartum for women; deworming treatment of all children; measles vaccination for all children between 9 months and 15 years of age; supplementation of iron and folic acid for PLWs; pre- and post-natal care.</w:t>
      </w:r>
    </w:p>
  </w:footnote>
  <w:footnote w:id="5">
    <w:p w14:paraId="523144ED" w14:textId="0E40AF82" w:rsidR="00EB0FAE" w:rsidRPr="00831B14" w:rsidRDefault="00EB0FAE" w:rsidP="00FA2857">
      <w:pPr>
        <w:pStyle w:val="FootnoteText"/>
        <w:jc w:val="both"/>
        <w:rPr>
          <w:sz w:val="18"/>
          <w:szCs w:val="18"/>
        </w:rPr>
      </w:pPr>
      <w:r w:rsidRPr="00831B14">
        <w:rPr>
          <w:rStyle w:val="FootnoteReference"/>
          <w:sz w:val="18"/>
          <w:szCs w:val="18"/>
        </w:rPr>
        <w:footnoteRef/>
      </w:r>
      <w:r w:rsidRPr="00831B14">
        <w:rPr>
          <w:sz w:val="18"/>
          <w:szCs w:val="18"/>
        </w:rPr>
        <w:t xml:space="preserve"> Table extracted from GNC (2020). Draft evidence and guidance note on the use of CVA for nutrition outcomes.</w:t>
      </w:r>
    </w:p>
  </w:footnote>
  <w:footnote w:id="6">
    <w:p w14:paraId="25BADD08" w14:textId="39C9CC17" w:rsidR="00EB0FAE" w:rsidRPr="00831B14" w:rsidRDefault="00EB0FAE">
      <w:pPr>
        <w:pStyle w:val="FootnoteText"/>
        <w:rPr>
          <w:sz w:val="18"/>
          <w:szCs w:val="18"/>
        </w:rPr>
      </w:pPr>
      <w:r w:rsidRPr="00831B14">
        <w:rPr>
          <w:rStyle w:val="FootnoteReference"/>
          <w:sz w:val="18"/>
          <w:szCs w:val="18"/>
        </w:rPr>
        <w:footnoteRef/>
      </w:r>
      <w:r w:rsidRPr="00831B14">
        <w:rPr>
          <w:sz w:val="18"/>
          <w:szCs w:val="18"/>
        </w:rPr>
        <w:t xml:space="preserve"> This section has been extracted form GNC (2020). Draft evidence and guidance note on the use of CVA for nutrition outcomes.</w:t>
      </w:r>
    </w:p>
  </w:footnote>
  <w:footnote w:id="7">
    <w:p w14:paraId="29CD8BCC" w14:textId="0B7F3CFE" w:rsidR="00EB0FAE" w:rsidRPr="00831B14" w:rsidRDefault="00EB0FAE" w:rsidP="00FA2857">
      <w:pPr>
        <w:pStyle w:val="FootnoteText"/>
        <w:jc w:val="both"/>
        <w:rPr>
          <w:sz w:val="18"/>
          <w:szCs w:val="18"/>
        </w:rPr>
      </w:pPr>
      <w:r w:rsidRPr="00831B14">
        <w:rPr>
          <w:rStyle w:val="FootnoteReference"/>
          <w:sz w:val="18"/>
          <w:szCs w:val="18"/>
        </w:rPr>
        <w:footnoteRef/>
      </w:r>
      <w:r w:rsidRPr="00831B14">
        <w:rPr>
          <w:sz w:val="18"/>
          <w:szCs w:val="18"/>
        </w:rPr>
        <w:t xml:space="preserve"> GNC (2020). Draft evidence and guidance note on the use of CVA for nutrition outcomes.</w:t>
      </w:r>
    </w:p>
  </w:footnote>
  <w:footnote w:id="8">
    <w:p w14:paraId="21D4F872" w14:textId="24F602D4" w:rsidR="00EB0FAE" w:rsidRPr="00831B14" w:rsidRDefault="00EB0FAE" w:rsidP="00FA2857">
      <w:pPr>
        <w:pStyle w:val="FootnoteText"/>
        <w:jc w:val="both"/>
        <w:rPr>
          <w:sz w:val="18"/>
          <w:szCs w:val="18"/>
          <w:lang w:val="en-GB"/>
        </w:rPr>
      </w:pPr>
      <w:r w:rsidRPr="00831B14">
        <w:rPr>
          <w:rStyle w:val="FootnoteReference"/>
          <w:sz w:val="18"/>
          <w:szCs w:val="18"/>
          <w:lang w:val="en-GB"/>
        </w:rPr>
        <w:footnoteRef/>
      </w:r>
      <w:r w:rsidRPr="00831B14">
        <w:rPr>
          <w:sz w:val="18"/>
          <w:szCs w:val="18"/>
          <w:lang w:val="en-GB"/>
        </w:rPr>
        <w:t xml:space="preserve"> The Porridge Mum approach provides a platform for women to come together, learn and discuss issues related to improved child caring and feeding practices. Porridge Mum groups ensure that children under five and pregnant and lactating women (PLW) receive one supplementary nutritious meal per day. The groups also provide a strong foundation for promoting optimal IYCF practices, offering breastfeeding support, creating “safe spaces” for sharing and discussion among women, and screening regularly for undernutrition in children under five.</w:t>
      </w:r>
    </w:p>
  </w:footnote>
  <w:footnote w:id="9">
    <w:p w14:paraId="4C82C106" w14:textId="25DC38B5" w:rsidR="00A07591" w:rsidRDefault="00A07591">
      <w:pPr>
        <w:pStyle w:val="FootnoteText"/>
      </w:pPr>
      <w:r>
        <w:rPr>
          <w:rStyle w:val="FootnoteReference"/>
        </w:rPr>
        <w:footnoteRef/>
      </w:r>
      <w:r>
        <w:t xml:space="preserve"> </w:t>
      </w:r>
      <w:r>
        <w:rPr>
          <w:lang w:val="en-GB"/>
        </w:rPr>
        <w:t>Soft conditionality means that targeted individuals and households are actively encouraged to fulfil the conditionality (i.e. participate in a SBC intervention or attend a health service) and possibly followed up if they fail to do so. They are however not excluded from the assistance if they fail to comply with the conditionality.</w:t>
      </w:r>
    </w:p>
  </w:footnote>
  <w:footnote w:id="10">
    <w:p w14:paraId="347FEC69" w14:textId="1687D427" w:rsidR="00EB0FAE" w:rsidRPr="00831B14" w:rsidRDefault="00EB0FAE" w:rsidP="00FA2857">
      <w:pPr>
        <w:pStyle w:val="FootnoteText"/>
        <w:jc w:val="both"/>
        <w:rPr>
          <w:sz w:val="18"/>
          <w:szCs w:val="18"/>
          <w:lang w:val="en-GB"/>
        </w:rPr>
      </w:pPr>
      <w:r w:rsidRPr="00831B14">
        <w:rPr>
          <w:rStyle w:val="FootnoteReference"/>
          <w:sz w:val="18"/>
          <w:szCs w:val="18"/>
          <w:lang w:val="en-GB"/>
        </w:rPr>
        <w:footnoteRef/>
      </w:r>
      <w:r w:rsidRPr="00831B14">
        <w:rPr>
          <w:sz w:val="18"/>
          <w:szCs w:val="18"/>
          <w:lang w:val="en-GB"/>
        </w:rPr>
        <w:t xml:space="preserve"> This may be partly connected with the survey methodology (surveying the whole LGAs in a situation where the intervention services have not yet covered significant proportion of the LGAs); short term duration of implementation and uneven distribution of interventions within the LGAs in questions</w:t>
      </w:r>
    </w:p>
  </w:footnote>
  <w:footnote w:id="11">
    <w:p w14:paraId="16F7C508" w14:textId="01BEBC6B" w:rsidR="00EB0FAE" w:rsidRPr="00831B14" w:rsidRDefault="00EB0FAE" w:rsidP="00FA2857">
      <w:pPr>
        <w:pStyle w:val="FootnoteText"/>
        <w:jc w:val="both"/>
        <w:rPr>
          <w:sz w:val="18"/>
          <w:szCs w:val="18"/>
        </w:rPr>
      </w:pPr>
      <w:r w:rsidRPr="00831B14">
        <w:rPr>
          <w:rStyle w:val="FootnoteReference"/>
          <w:sz w:val="18"/>
          <w:szCs w:val="18"/>
        </w:rPr>
        <w:footnoteRef/>
      </w:r>
      <w:r w:rsidRPr="00831B14">
        <w:rPr>
          <w:sz w:val="18"/>
          <w:szCs w:val="18"/>
        </w:rPr>
        <w:t xml:space="preserve"> GNC (2020). Draft evidence and guidance note on the use of CVA for nutrition outcomes.</w:t>
      </w:r>
    </w:p>
  </w:footnote>
  <w:footnote w:id="12">
    <w:p w14:paraId="2FB5E122" w14:textId="0D54B6BE" w:rsidR="00EB0FAE" w:rsidRPr="00831B14" w:rsidRDefault="00EB0FAE" w:rsidP="00FA2857">
      <w:pPr>
        <w:pStyle w:val="FootnoteText"/>
        <w:jc w:val="both"/>
        <w:rPr>
          <w:sz w:val="18"/>
          <w:szCs w:val="18"/>
        </w:rPr>
      </w:pPr>
      <w:r w:rsidRPr="00831B14">
        <w:rPr>
          <w:rStyle w:val="FootnoteReference"/>
          <w:sz w:val="18"/>
          <w:szCs w:val="18"/>
        </w:rPr>
        <w:footnoteRef/>
      </w:r>
      <w:r w:rsidRPr="00831B14">
        <w:rPr>
          <w:sz w:val="18"/>
          <w:szCs w:val="18"/>
        </w:rPr>
        <w:t xml:space="preserve"> AAH (2017). A protection perspective on cash and nutrition. Learning review.</w:t>
      </w:r>
    </w:p>
  </w:footnote>
  <w:footnote w:id="13">
    <w:p w14:paraId="10F953D0" w14:textId="67B7C0B9" w:rsidR="00EB0FAE" w:rsidRPr="00831B14" w:rsidRDefault="00EB0FAE" w:rsidP="00FA2857">
      <w:pPr>
        <w:pStyle w:val="FootnoteText"/>
        <w:jc w:val="both"/>
        <w:rPr>
          <w:sz w:val="18"/>
          <w:szCs w:val="18"/>
        </w:rPr>
      </w:pPr>
      <w:r w:rsidRPr="00831B14">
        <w:rPr>
          <w:rStyle w:val="FootnoteReference"/>
          <w:sz w:val="18"/>
          <w:szCs w:val="18"/>
        </w:rPr>
        <w:footnoteRef/>
      </w:r>
      <w:r w:rsidRPr="00831B14">
        <w:rPr>
          <w:sz w:val="18"/>
          <w:szCs w:val="18"/>
        </w:rPr>
        <w:t xml:space="preserve"> The only peer-reviewed study on this approach (</w:t>
      </w:r>
      <w:hyperlink r:id="rId1" w:history="1">
        <w:r w:rsidRPr="00831B14">
          <w:rPr>
            <w:rStyle w:val="Hyperlink"/>
            <w:sz w:val="18"/>
            <w:szCs w:val="18"/>
            <w:lang w:val="en-GB"/>
          </w:rPr>
          <w:t>Grellety et al.</w:t>
        </w:r>
      </w:hyperlink>
      <w:r w:rsidRPr="00831B14">
        <w:rPr>
          <w:rStyle w:val="Hyperlink"/>
          <w:sz w:val="18"/>
          <w:szCs w:val="18"/>
          <w:lang w:val="en-GB"/>
        </w:rPr>
        <w:t xml:space="preserve">, </w:t>
      </w:r>
      <w:r w:rsidRPr="00831B14">
        <w:rPr>
          <w:sz w:val="18"/>
          <w:szCs w:val="18"/>
        </w:rPr>
        <w:t>2017) in DRC found that cash transfers provided to caregivers significantly improved the treatment outcomes of children treated for SAM. Children in households that received cash transfers gained weight faster, were more likely to recover from SAM and less likely to default  or fail to respond to treatment  compared with children in the control group. Furthermore, all nutritional outcomes in the intervention group were significantly better than those in the control group.</w:t>
      </w:r>
    </w:p>
  </w:footnote>
  <w:footnote w:id="14">
    <w:p w14:paraId="57462DB0" w14:textId="052F19C2" w:rsidR="00EB0FAE" w:rsidRPr="00831B14" w:rsidRDefault="00EB0FAE" w:rsidP="00FA2857">
      <w:pPr>
        <w:pStyle w:val="FootnoteText"/>
        <w:jc w:val="both"/>
        <w:rPr>
          <w:sz w:val="18"/>
          <w:szCs w:val="18"/>
        </w:rPr>
      </w:pPr>
      <w:r w:rsidRPr="00831B14">
        <w:rPr>
          <w:rStyle w:val="FootnoteReference"/>
          <w:sz w:val="18"/>
          <w:szCs w:val="18"/>
        </w:rPr>
        <w:footnoteRef/>
      </w:r>
      <w:r w:rsidRPr="00831B14">
        <w:rPr>
          <w:sz w:val="18"/>
          <w:szCs w:val="18"/>
        </w:rPr>
        <w:t xml:space="preserve"> GNC (2020). Draft evidence and guidance note on the use of CVA for nutrition outcomes. </w:t>
      </w:r>
    </w:p>
  </w:footnote>
  <w:footnote w:id="15">
    <w:p w14:paraId="4C536586" w14:textId="70B01941" w:rsidR="00EB0FAE" w:rsidRPr="00831B14" w:rsidRDefault="00EB0FAE" w:rsidP="00FA2857">
      <w:pPr>
        <w:pStyle w:val="FootnoteText"/>
        <w:jc w:val="both"/>
        <w:rPr>
          <w:sz w:val="18"/>
          <w:szCs w:val="18"/>
        </w:rPr>
      </w:pPr>
      <w:r w:rsidRPr="00831B14">
        <w:rPr>
          <w:rStyle w:val="FootnoteReference"/>
          <w:sz w:val="18"/>
          <w:szCs w:val="18"/>
        </w:rPr>
        <w:footnoteRef/>
      </w:r>
      <w:r w:rsidRPr="00831B14">
        <w:rPr>
          <w:sz w:val="18"/>
          <w:szCs w:val="18"/>
        </w:rPr>
        <w:t xml:space="preserve"> Multipurpose Cash Transfers (MPC) are transfers (either periodic or one-off) corresponding to the amount of money required to cover, fully or partially, a household’s basic and/or recovery needs. The term refers to cash transfers designed to address multiple needs, with the transfer value calculated accordingly. MPC transfer values are often indexed to expenditure gaps based on a Minimum Expenditure Basket (MEB), or other monetized calculation of the amount required to cover basic needs. All MPC are unrestricted in terms of use as they can be spent as the recipient chooses. (CaLP Glossary)</w:t>
      </w:r>
    </w:p>
  </w:footnote>
  <w:footnote w:id="16">
    <w:p w14:paraId="34B3696F" w14:textId="4EE58D64" w:rsidR="00EB0FAE" w:rsidRPr="00831B14" w:rsidRDefault="00EB0FAE" w:rsidP="00FA2857">
      <w:pPr>
        <w:pStyle w:val="FootnoteText"/>
        <w:jc w:val="both"/>
        <w:rPr>
          <w:sz w:val="18"/>
          <w:szCs w:val="18"/>
        </w:rPr>
      </w:pPr>
      <w:r w:rsidRPr="00831B14">
        <w:rPr>
          <w:rStyle w:val="FootnoteReference"/>
          <w:sz w:val="18"/>
          <w:szCs w:val="18"/>
        </w:rPr>
        <w:footnoteRef/>
      </w:r>
      <w:r w:rsidRPr="00831B14">
        <w:rPr>
          <w:sz w:val="18"/>
          <w:szCs w:val="18"/>
        </w:rPr>
        <w:t xml:space="preserve"> It is important to highlight the limitations of the attached calculation: the MEB does not include detailed specifications for its food items (e.g. salt can be iodized or non-iodized, there are many different types of beans with different nutritional values, etc.). The author thus made certain assumptions when creating the ration content in the NutVal tool, which can be revised any time based on more detailed specifications. </w:t>
      </w:r>
    </w:p>
  </w:footnote>
  <w:footnote w:id="17">
    <w:p w14:paraId="55934F7C" w14:textId="413BDF04" w:rsidR="00EB0FAE" w:rsidRPr="00831B14" w:rsidRDefault="00EB0FAE" w:rsidP="00FA2857">
      <w:pPr>
        <w:pStyle w:val="FootnoteText"/>
        <w:jc w:val="both"/>
        <w:rPr>
          <w:sz w:val="18"/>
          <w:szCs w:val="18"/>
          <w:lang w:val="en-GB"/>
        </w:rPr>
      </w:pPr>
      <w:r w:rsidRPr="00831B14">
        <w:rPr>
          <w:rStyle w:val="FootnoteReference"/>
          <w:sz w:val="18"/>
          <w:szCs w:val="18"/>
          <w:lang w:val="en-GB"/>
        </w:rPr>
        <w:footnoteRef/>
      </w:r>
      <w:r w:rsidRPr="00831B14">
        <w:rPr>
          <w:sz w:val="18"/>
          <w:szCs w:val="18"/>
          <w:lang w:val="en-GB"/>
        </w:rPr>
        <w:t xml:space="preserve"> Since the 2008 Lancet series, there is a broad consensus within the nutrition community that good nutrition within the first 1000 days, i.e. the time period from child's conception through to her second birthday, has lasting benefits on the cognitive and physical development of children. Evidence from the development literature indicates that targeting interventions to PLW and younger children during the first 1000 days has greater impact on child nutritional outcome. Most development organisations have since revised their strategies to address undernutrition focused on the 1000 days during pregnancy and the first 2 years of life. The focus of emergency nutrition programmes remains children between 6 and 59 months of age. (GNC, 2020, draft evidence and guidance note)</w:t>
      </w:r>
    </w:p>
  </w:footnote>
  <w:footnote w:id="18">
    <w:p w14:paraId="1DC97240" w14:textId="42BAC52D" w:rsidR="00EB0FAE" w:rsidRPr="00831B14" w:rsidRDefault="00EB0FAE">
      <w:pPr>
        <w:pStyle w:val="FootnoteText"/>
        <w:rPr>
          <w:sz w:val="18"/>
          <w:szCs w:val="18"/>
        </w:rPr>
      </w:pPr>
      <w:r w:rsidRPr="00831B14">
        <w:rPr>
          <w:rStyle w:val="FootnoteReference"/>
          <w:sz w:val="18"/>
          <w:szCs w:val="18"/>
        </w:rPr>
        <w:footnoteRef/>
      </w:r>
      <w:r w:rsidRPr="00831B14">
        <w:rPr>
          <w:sz w:val="18"/>
          <w:szCs w:val="18"/>
        </w:rPr>
        <w:t xml:space="preserve"> From the CWG work plan 2019: Set-up the task force to work on best practices, lessons learnt, capacity building</w:t>
      </w:r>
    </w:p>
    <w:p w14:paraId="122B266B" w14:textId="3A1322C9" w:rsidR="00EB0FAE" w:rsidRPr="00831B14" w:rsidRDefault="00EB0FAE">
      <w:pPr>
        <w:pStyle w:val="FootnoteText"/>
        <w:rPr>
          <w:sz w:val="18"/>
          <w:szCs w:val="18"/>
        </w:rPr>
      </w:pPr>
      <w:r w:rsidRPr="00831B14">
        <w:rPr>
          <w:sz w:val="18"/>
          <w:szCs w:val="18"/>
        </w:rPr>
        <w:t>From the 2020 HRP: The [nutrition] sector will enhance its participation in the CWG and has identified opportunities and challenges in scaling-up cash and voucher assistance programmes as an alternative to in-kind assistance and services or to complement traditional interventions.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C6B3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0203F6"/>
    <w:multiLevelType w:val="hybridMultilevel"/>
    <w:tmpl w:val="23A86596"/>
    <w:lvl w:ilvl="0" w:tplc="B362397C">
      <w:start w:val="1"/>
      <w:numFmt w:val="bullet"/>
      <w:lvlText w:val=""/>
      <w:lvlJc w:val="left"/>
      <w:pPr>
        <w:tabs>
          <w:tab w:val="num" w:pos="720"/>
        </w:tabs>
        <w:ind w:left="720" w:hanging="360"/>
      </w:pPr>
      <w:rPr>
        <w:rFonts w:ascii="Wingdings" w:hAnsi="Wingdings" w:hint="default"/>
      </w:rPr>
    </w:lvl>
    <w:lvl w:ilvl="1" w:tplc="939093B8" w:tentative="1">
      <w:start w:val="1"/>
      <w:numFmt w:val="bullet"/>
      <w:lvlText w:val=""/>
      <w:lvlJc w:val="left"/>
      <w:pPr>
        <w:tabs>
          <w:tab w:val="num" w:pos="1440"/>
        </w:tabs>
        <w:ind w:left="1440" w:hanging="360"/>
      </w:pPr>
      <w:rPr>
        <w:rFonts w:ascii="Wingdings" w:hAnsi="Wingdings" w:hint="default"/>
      </w:rPr>
    </w:lvl>
    <w:lvl w:ilvl="2" w:tplc="77240150" w:tentative="1">
      <w:start w:val="1"/>
      <w:numFmt w:val="bullet"/>
      <w:lvlText w:val=""/>
      <w:lvlJc w:val="left"/>
      <w:pPr>
        <w:tabs>
          <w:tab w:val="num" w:pos="2160"/>
        </w:tabs>
        <w:ind w:left="2160" w:hanging="360"/>
      </w:pPr>
      <w:rPr>
        <w:rFonts w:ascii="Wingdings" w:hAnsi="Wingdings" w:hint="default"/>
      </w:rPr>
    </w:lvl>
    <w:lvl w:ilvl="3" w:tplc="91DE694A" w:tentative="1">
      <w:start w:val="1"/>
      <w:numFmt w:val="bullet"/>
      <w:lvlText w:val=""/>
      <w:lvlJc w:val="left"/>
      <w:pPr>
        <w:tabs>
          <w:tab w:val="num" w:pos="2880"/>
        </w:tabs>
        <w:ind w:left="2880" w:hanging="360"/>
      </w:pPr>
      <w:rPr>
        <w:rFonts w:ascii="Wingdings" w:hAnsi="Wingdings" w:hint="default"/>
      </w:rPr>
    </w:lvl>
    <w:lvl w:ilvl="4" w:tplc="BE6EF672" w:tentative="1">
      <w:start w:val="1"/>
      <w:numFmt w:val="bullet"/>
      <w:lvlText w:val=""/>
      <w:lvlJc w:val="left"/>
      <w:pPr>
        <w:tabs>
          <w:tab w:val="num" w:pos="3600"/>
        </w:tabs>
        <w:ind w:left="3600" w:hanging="360"/>
      </w:pPr>
      <w:rPr>
        <w:rFonts w:ascii="Wingdings" w:hAnsi="Wingdings" w:hint="default"/>
      </w:rPr>
    </w:lvl>
    <w:lvl w:ilvl="5" w:tplc="FD8A1BE0" w:tentative="1">
      <w:start w:val="1"/>
      <w:numFmt w:val="bullet"/>
      <w:lvlText w:val=""/>
      <w:lvlJc w:val="left"/>
      <w:pPr>
        <w:tabs>
          <w:tab w:val="num" w:pos="4320"/>
        </w:tabs>
        <w:ind w:left="4320" w:hanging="360"/>
      </w:pPr>
      <w:rPr>
        <w:rFonts w:ascii="Wingdings" w:hAnsi="Wingdings" w:hint="default"/>
      </w:rPr>
    </w:lvl>
    <w:lvl w:ilvl="6" w:tplc="AAC26D62" w:tentative="1">
      <w:start w:val="1"/>
      <w:numFmt w:val="bullet"/>
      <w:lvlText w:val=""/>
      <w:lvlJc w:val="left"/>
      <w:pPr>
        <w:tabs>
          <w:tab w:val="num" w:pos="5040"/>
        </w:tabs>
        <w:ind w:left="5040" w:hanging="360"/>
      </w:pPr>
      <w:rPr>
        <w:rFonts w:ascii="Wingdings" w:hAnsi="Wingdings" w:hint="default"/>
      </w:rPr>
    </w:lvl>
    <w:lvl w:ilvl="7" w:tplc="DB3E5BD4" w:tentative="1">
      <w:start w:val="1"/>
      <w:numFmt w:val="bullet"/>
      <w:lvlText w:val=""/>
      <w:lvlJc w:val="left"/>
      <w:pPr>
        <w:tabs>
          <w:tab w:val="num" w:pos="5760"/>
        </w:tabs>
        <w:ind w:left="5760" w:hanging="360"/>
      </w:pPr>
      <w:rPr>
        <w:rFonts w:ascii="Wingdings" w:hAnsi="Wingdings" w:hint="default"/>
      </w:rPr>
    </w:lvl>
    <w:lvl w:ilvl="8" w:tplc="426EEE3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432C3A"/>
    <w:multiLevelType w:val="hybridMultilevel"/>
    <w:tmpl w:val="DA848B8A"/>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395FE1"/>
    <w:multiLevelType w:val="hybridMultilevel"/>
    <w:tmpl w:val="B642B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E91BCD"/>
    <w:multiLevelType w:val="hybridMultilevel"/>
    <w:tmpl w:val="B3D47F1E"/>
    <w:lvl w:ilvl="0" w:tplc="824AC91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5F42C3"/>
    <w:multiLevelType w:val="hybridMultilevel"/>
    <w:tmpl w:val="CAC8C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603BF4"/>
    <w:multiLevelType w:val="hybridMultilevel"/>
    <w:tmpl w:val="75F6EFE2"/>
    <w:lvl w:ilvl="0" w:tplc="624211F0">
      <w:start w:val="1"/>
      <w:numFmt w:val="bullet"/>
      <w:lvlText w:val="-"/>
      <w:lvlJc w:val="left"/>
      <w:pPr>
        <w:tabs>
          <w:tab w:val="num" w:pos="360"/>
        </w:tabs>
        <w:ind w:left="360" w:hanging="360"/>
      </w:pPr>
      <w:rPr>
        <w:rFonts w:ascii="Times New Roman" w:hAnsi="Times New Roman" w:hint="default"/>
      </w:rPr>
    </w:lvl>
    <w:lvl w:ilvl="1" w:tplc="6B7CFFEE" w:tentative="1">
      <w:start w:val="1"/>
      <w:numFmt w:val="bullet"/>
      <w:lvlText w:val="-"/>
      <w:lvlJc w:val="left"/>
      <w:pPr>
        <w:tabs>
          <w:tab w:val="num" w:pos="1080"/>
        </w:tabs>
        <w:ind w:left="1080" w:hanging="360"/>
      </w:pPr>
      <w:rPr>
        <w:rFonts w:ascii="Times New Roman" w:hAnsi="Times New Roman" w:hint="default"/>
      </w:rPr>
    </w:lvl>
    <w:lvl w:ilvl="2" w:tplc="EE608476" w:tentative="1">
      <w:start w:val="1"/>
      <w:numFmt w:val="bullet"/>
      <w:lvlText w:val="-"/>
      <w:lvlJc w:val="left"/>
      <w:pPr>
        <w:tabs>
          <w:tab w:val="num" w:pos="1800"/>
        </w:tabs>
        <w:ind w:left="1800" w:hanging="360"/>
      </w:pPr>
      <w:rPr>
        <w:rFonts w:ascii="Times New Roman" w:hAnsi="Times New Roman" w:hint="default"/>
      </w:rPr>
    </w:lvl>
    <w:lvl w:ilvl="3" w:tplc="022A6EAA" w:tentative="1">
      <w:start w:val="1"/>
      <w:numFmt w:val="bullet"/>
      <w:lvlText w:val="-"/>
      <w:lvlJc w:val="left"/>
      <w:pPr>
        <w:tabs>
          <w:tab w:val="num" w:pos="2520"/>
        </w:tabs>
        <w:ind w:left="2520" w:hanging="360"/>
      </w:pPr>
      <w:rPr>
        <w:rFonts w:ascii="Times New Roman" w:hAnsi="Times New Roman" w:hint="default"/>
      </w:rPr>
    </w:lvl>
    <w:lvl w:ilvl="4" w:tplc="08783904" w:tentative="1">
      <w:start w:val="1"/>
      <w:numFmt w:val="bullet"/>
      <w:lvlText w:val="-"/>
      <w:lvlJc w:val="left"/>
      <w:pPr>
        <w:tabs>
          <w:tab w:val="num" w:pos="3240"/>
        </w:tabs>
        <w:ind w:left="3240" w:hanging="360"/>
      </w:pPr>
      <w:rPr>
        <w:rFonts w:ascii="Times New Roman" w:hAnsi="Times New Roman" w:hint="default"/>
      </w:rPr>
    </w:lvl>
    <w:lvl w:ilvl="5" w:tplc="DFDA478C" w:tentative="1">
      <w:start w:val="1"/>
      <w:numFmt w:val="bullet"/>
      <w:lvlText w:val="-"/>
      <w:lvlJc w:val="left"/>
      <w:pPr>
        <w:tabs>
          <w:tab w:val="num" w:pos="3960"/>
        </w:tabs>
        <w:ind w:left="3960" w:hanging="360"/>
      </w:pPr>
      <w:rPr>
        <w:rFonts w:ascii="Times New Roman" w:hAnsi="Times New Roman" w:hint="default"/>
      </w:rPr>
    </w:lvl>
    <w:lvl w:ilvl="6" w:tplc="5DB07B70" w:tentative="1">
      <w:start w:val="1"/>
      <w:numFmt w:val="bullet"/>
      <w:lvlText w:val="-"/>
      <w:lvlJc w:val="left"/>
      <w:pPr>
        <w:tabs>
          <w:tab w:val="num" w:pos="4680"/>
        </w:tabs>
        <w:ind w:left="4680" w:hanging="360"/>
      </w:pPr>
      <w:rPr>
        <w:rFonts w:ascii="Times New Roman" w:hAnsi="Times New Roman" w:hint="default"/>
      </w:rPr>
    </w:lvl>
    <w:lvl w:ilvl="7" w:tplc="FA6452CE" w:tentative="1">
      <w:start w:val="1"/>
      <w:numFmt w:val="bullet"/>
      <w:lvlText w:val="-"/>
      <w:lvlJc w:val="left"/>
      <w:pPr>
        <w:tabs>
          <w:tab w:val="num" w:pos="5400"/>
        </w:tabs>
        <w:ind w:left="5400" w:hanging="360"/>
      </w:pPr>
      <w:rPr>
        <w:rFonts w:ascii="Times New Roman" w:hAnsi="Times New Roman" w:hint="default"/>
      </w:rPr>
    </w:lvl>
    <w:lvl w:ilvl="8" w:tplc="15D63AC2" w:tentative="1">
      <w:start w:val="1"/>
      <w:numFmt w:val="bullet"/>
      <w:lvlText w:val="-"/>
      <w:lvlJc w:val="left"/>
      <w:pPr>
        <w:tabs>
          <w:tab w:val="num" w:pos="6120"/>
        </w:tabs>
        <w:ind w:left="6120" w:hanging="360"/>
      </w:pPr>
      <w:rPr>
        <w:rFonts w:ascii="Times New Roman" w:hAnsi="Times New Roman" w:hint="default"/>
      </w:rPr>
    </w:lvl>
  </w:abstractNum>
  <w:abstractNum w:abstractNumId="7" w15:restartNumberingAfterBreak="0">
    <w:nsid w:val="200930ED"/>
    <w:multiLevelType w:val="hybridMultilevel"/>
    <w:tmpl w:val="139808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3483600"/>
    <w:multiLevelType w:val="hybridMultilevel"/>
    <w:tmpl w:val="CA1874D0"/>
    <w:lvl w:ilvl="0" w:tplc="C4CC775C">
      <w:start w:val="1"/>
      <w:numFmt w:val="bullet"/>
      <w:lvlText w:val="-"/>
      <w:lvlJc w:val="left"/>
      <w:pPr>
        <w:tabs>
          <w:tab w:val="num" w:pos="360"/>
        </w:tabs>
        <w:ind w:left="360" w:hanging="360"/>
      </w:pPr>
      <w:rPr>
        <w:rFonts w:ascii="Times New Roman" w:hAnsi="Times New Roman" w:hint="default"/>
      </w:rPr>
    </w:lvl>
    <w:lvl w:ilvl="1" w:tplc="A9B61A8E" w:tentative="1">
      <w:start w:val="1"/>
      <w:numFmt w:val="bullet"/>
      <w:lvlText w:val="-"/>
      <w:lvlJc w:val="left"/>
      <w:pPr>
        <w:tabs>
          <w:tab w:val="num" w:pos="1080"/>
        </w:tabs>
        <w:ind w:left="1080" w:hanging="360"/>
      </w:pPr>
      <w:rPr>
        <w:rFonts w:ascii="Times New Roman" w:hAnsi="Times New Roman" w:hint="default"/>
      </w:rPr>
    </w:lvl>
    <w:lvl w:ilvl="2" w:tplc="42BEEF4C" w:tentative="1">
      <w:start w:val="1"/>
      <w:numFmt w:val="bullet"/>
      <w:lvlText w:val="-"/>
      <w:lvlJc w:val="left"/>
      <w:pPr>
        <w:tabs>
          <w:tab w:val="num" w:pos="1800"/>
        </w:tabs>
        <w:ind w:left="1800" w:hanging="360"/>
      </w:pPr>
      <w:rPr>
        <w:rFonts w:ascii="Times New Roman" w:hAnsi="Times New Roman" w:hint="default"/>
      </w:rPr>
    </w:lvl>
    <w:lvl w:ilvl="3" w:tplc="FADC7506" w:tentative="1">
      <w:start w:val="1"/>
      <w:numFmt w:val="bullet"/>
      <w:lvlText w:val="-"/>
      <w:lvlJc w:val="left"/>
      <w:pPr>
        <w:tabs>
          <w:tab w:val="num" w:pos="2520"/>
        </w:tabs>
        <w:ind w:left="2520" w:hanging="360"/>
      </w:pPr>
      <w:rPr>
        <w:rFonts w:ascii="Times New Roman" w:hAnsi="Times New Roman" w:hint="default"/>
      </w:rPr>
    </w:lvl>
    <w:lvl w:ilvl="4" w:tplc="F3524724" w:tentative="1">
      <w:start w:val="1"/>
      <w:numFmt w:val="bullet"/>
      <w:lvlText w:val="-"/>
      <w:lvlJc w:val="left"/>
      <w:pPr>
        <w:tabs>
          <w:tab w:val="num" w:pos="3240"/>
        </w:tabs>
        <w:ind w:left="3240" w:hanging="360"/>
      </w:pPr>
      <w:rPr>
        <w:rFonts w:ascii="Times New Roman" w:hAnsi="Times New Roman" w:hint="default"/>
      </w:rPr>
    </w:lvl>
    <w:lvl w:ilvl="5" w:tplc="805E02BC" w:tentative="1">
      <w:start w:val="1"/>
      <w:numFmt w:val="bullet"/>
      <w:lvlText w:val="-"/>
      <w:lvlJc w:val="left"/>
      <w:pPr>
        <w:tabs>
          <w:tab w:val="num" w:pos="3960"/>
        </w:tabs>
        <w:ind w:left="3960" w:hanging="360"/>
      </w:pPr>
      <w:rPr>
        <w:rFonts w:ascii="Times New Roman" w:hAnsi="Times New Roman" w:hint="default"/>
      </w:rPr>
    </w:lvl>
    <w:lvl w:ilvl="6" w:tplc="37507E06" w:tentative="1">
      <w:start w:val="1"/>
      <w:numFmt w:val="bullet"/>
      <w:lvlText w:val="-"/>
      <w:lvlJc w:val="left"/>
      <w:pPr>
        <w:tabs>
          <w:tab w:val="num" w:pos="4680"/>
        </w:tabs>
        <w:ind w:left="4680" w:hanging="360"/>
      </w:pPr>
      <w:rPr>
        <w:rFonts w:ascii="Times New Roman" w:hAnsi="Times New Roman" w:hint="default"/>
      </w:rPr>
    </w:lvl>
    <w:lvl w:ilvl="7" w:tplc="2FF40C7A" w:tentative="1">
      <w:start w:val="1"/>
      <w:numFmt w:val="bullet"/>
      <w:lvlText w:val="-"/>
      <w:lvlJc w:val="left"/>
      <w:pPr>
        <w:tabs>
          <w:tab w:val="num" w:pos="5400"/>
        </w:tabs>
        <w:ind w:left="5400" w:hanging="360"/>
      </w:pPr>
      <w:rPr>
        <w:rFonts w:ascii="Times New Roman" w:hAnsi="Times New Roman" w:hint="default"/>
      </w:rPr>
    </w:lvl>
    <w:lvl w:ilvl="8" w:tplc="22707F78" w:tentative="1">
      <w:start w:val="1"/>
      <w:numFmt w:val="bullet"/>
      <w:lvlText w:val="-"/>
      <w:lvlJc w:val="left"/>
      <w:pPr>
        <w:tabs>
          <w:tab w:val="num" w:pos="6120"/>
        </w:tabs>
        <w:ind w:left="6120" w:hanging="360"/>
      </w:pPr>
      <w:rPr>
        <w:rFonts w:ascii="Times New Roman" w:hAnsi="Times New Roman" w:hint="default"/>
      </w:rPr>
    </w:lvl>
  </w:abstractNum>
  <w:abstractNum w:abstractNumId="9" w15:restartNumberingAfterBreak="0">
    <w:nsid w:val="2510006E"/>
    <w:multiLevelType w:val="hybridMultilevel"/>
    <w:tmpl w:val="51BA9B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7A4733C"/>
    <w:multiLevelType w:val="hybridMultilevel"/>
    <w:tmpl w:val="108C15A8"/>
    <w:lvl w:ilvl="0" w:tplc="F4224654">
      <w:start w:val="5"/>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E0C4303"/>
    <w:multiLevelType w:val="hybridMultilevel"/>
    <w:tmpl w:val="3ACE3C16"/>
    <w:lvl w:ilvl="0" w:tplc="6AFA80E8">
      <w:start w:val="1"/>
      <w:numFmt w:val="bullet"/>
      <w:lvlText w:val="-"/>
      <w:lvlJc w:val="left"/>
      <w:pPr>
        <w:tabs>
          <w:tab w:val="num" w:pos="360"/>
        </w:tabs>
        <w:ind w:left="360" w:hanging="360"/>
      </w:pPr>
      <w:rPr>
        <w:rFonts w:ascii="Times New Roman" w:hAnsi="Times New Roman" w:hint="default"/>
      </w:rPr>
    </w:lvl>
    <w:lvl w:ilvl="1" w:tplc="DB56F222" w:tentative="1">
      <w:start w:val="1"/>
      <w:numFmt w:val="bullet"/>
      <w:lvlText w:val="-"/>
      <w:lvlJc w:val="left"/>
      <w:pPr>
        <w:tabs>
          <w:tab w:val="num" w:pos="1080"/>
        </w:tabs>
        <w:ind w:left="1080" w:hanging="360"/>
      </w:pPr>
      <w:rPr>
        <w:rFonts w:ascii="Times New Roman" w:hAnsi="Times New Roman" w:hint="default"/>
      </w:rPr>
    </w:lvl>
    <w:lvl w:ilvl="2" w:tplc="B344F02A" w:tentative="1">
      <w:start w:val="1"/>
      <w:numFmt w:val="bullet"/>
      <w:lvlText w:val="-"/>
      <w:lvlJc w:val="left"/>
      <w:pPr>
        <w:tabs>
          <w:tab w:val="num" w:pos="1800"/>
        </w:tabs>
        <w:ind w:left="1800" w:hanging="360"/>
      </w:pPr>
      <w:rPr>
        <w:rFonts w:ascii="Times New Roman" w:hAnsi="Times New Roman" w:hint="default"/>
      </w:rPr>
    </w:lvl>
    <w:lvl w:ilvl="3" w:tplc="00B44BE2" w:tentative="1">
      <w:start w:val="1"/>
      <w:numFmt w:val="bullet"/>
      <w:lvlText w:val="-"/>
      <w:lvlJc w:val="left"/>
      <w:pPr>
        <w:tabs>
          <w:tab w:val="num" w:pos="2520"/>
        </w:tabs>
        <w:ind w:left="2520" w:hanging="360"/>
      </w:pPr>
      <w:rPr>
        <w:rFonts w:ascii="Times New Roman" w:hAnsi="Times New Roman" w:hint="default"/>
      </w:rPr>
    </w:lvl>
    <w:lvl w:ilvl="4" w:tplc="97947CD4" w:tentative="1">
      <w:start w:val="1"/>
      <w:numFmt w:val="bullet"/>
      <w:lvlText w:val="-"/>
      <w:lvlJc w:val="left"/>
      <w:pPr>
        <w:tabs>
          <w:tab w:val="num" w:pos="3240"/>
        </w:tabs>
        <w:ind w:left="3240" w:hanging="360"/>
      </w:pPr>
      <w:rPr>
        <w:rFonts w:ascii="Times New Roman" w:hAnsi="Times New Roman" w:hint="default"/>
      </w:rPr>
    </w:lvl>
    <w:lvl w:ilvl="5" w:tplc="53009978" w:tentative="1">
      <w:start w:val="1"/>
      <w:numFmt w:val="bullet"/>
      <w:lvlText w:val="-"/>
      <w:lvlJc w:val="left"/>
      <w:pPr>
        <w:tabs>
          <w:tab w:val="num" w:pos="3960"/>
        </w:tabs>
        <w:ind w:left="3960" w:hanging="360"/>
      </w:pPr>
      <w:rPr>
        <w:rFonts w:ascii="Times New Roman" w:hAnsi="Times New Roman" w:hint="default"/>
      </w:rPr>
    </w:lvl>
    <w:lvl w:ilvl="6" w:tplc="1646DC3E" w:tentative="1">
      <w:start w:val="1"/>
      <w:numFmt w:val="bullet"/>
      <w:lvlText w:val="-"/>
      <w:lvlJc w:val="left"/>
      <w:pPr>
        <w:tabs>
          <w:tab w:val="num" w:pos="4680"/>
        </w:tabs>
        <w:ind w:left="4680" w:hanging="360"/>
      </w:pPr>
      <w:rPr>
        <w:rFonts w:ascii="Times New Roman" w:hAnsi="Times New Roman" w:hint="default"/>
      </w:rPr>
    </w:lvl>
    <w:lvl w:ilvl="7" w:tplc="F5D6CFD6" w:tentative="1">
      <w:start w:val="1"/>
      <w:numFmt w:val="bullet"/>
      <w:lvlText w:val="-"/>
      <w:lvlJc w:val="left"/>
      <w:pPr>
        <w:tabs>
          <w:tab w:val="num" w:pos="5400"/>
        </w:tabs>
        <w:ind w:left="5400" w:hanging="360"/>
      </w:pPr>
      <w:rPr>
        <w:rFonts w:ascii="Times New Roman" w:hAnsi="Times New Roman" w:hint="default"/>
      </w:rPr>
    </w:lvl>
    <w:lvl w:ilvl="8" w:tplc="0494DB0E" w:tentative="1">
      <w:start w:val="1"/>
      <w:numFmt w:val="bullet"/>
      <w:lvlText w:val="-"/>
      <w:lvlJc w:val="left"/>
      <w:pPr>
        <w:tabs>
          <w:tab w:val="num" w:pos="6120"/>
        </w:tabs>
        <w:ind w:left="6120" w:hanging="360"/>
      </w:pPr>
      <w:rPr>
        <w:rFonts w:ascii="Times New Roman" w:hAnsi="Times New Roman" w:hint="default"/>
      </w:rPr>
    </w:lvl>
  </w:abstractNum>
  <w:abstractNum w:abstractNumId="12" w15:restartNumberingAfterBreak="0">
    <w:nsid w:val="30E73A83"/>
    <w:multiLevelType w:val="hybridMultilevel"/>
    <w:tmpl w:val="E4E6D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B06DF3"/>
    <w:multiLevelType w:val="hybridMultilevel"/>
    <w:tmpl w:val="AA40D64E"/>
    <w:lvl w:ilvl="0" w:tplc="0E4E0EFE">
      <w:start w:val="1"/>
      <w:numFmt w:val="bullet"/>
      <w:lvlText w:val=""/>
      <w:lvlJc w:val="left"/>
      <w:pPr>
        <w:tabs>
          <w:tab w:val="num" w:pos="720"/>
        </w:tabs>
        <w:ind w:left="720" w:hanging="360"/>
      </w:pPr>
      <w:rPr>
        <w:rFonts w:ascii="Wingdings 3" w:hAnsi="Wingdings 3" w:hint="default"/>
      </w:rPr>
    </w:lvl>
    <w:lvl w:ilvl="1" w:tplc="77E03C6C" w:tentative="1">
      <w:start w:val="1"/>
      <w:numFmt w:val="bullet"/>
      <w:lvlText w:val=""/>
      <w:lvlJc w:val="left"/>
      <w:pPr>
        <w:tabs>
          <w:tab w:val="num" w:pos="1440"/>
        </w:tabs>
        <w:ind w:left="1440" w:hanging="360"/>
      </w:pPr>
      <w:rPr>
        <w:rFonts w:ascii="Wingdings 3" w:hAnsi="Wingdings 3" w:hint="default"/>
      </w:rPr>
    </w:lvl>
    <w:lvl w:ilvl="2" w:tplc="5262F5AC" w:tentative="1">
      <w:start w:val="1"/>
      <w:numFmt w:val="bullet"/>
      <w:lvlText w:val=""/>
      <w:lvlJc w:val="left"/>
      <w:pPr>
        <w:tabs>
          <w:tab w:val="num" w:pos="2160"/>
        </w:tabs>
        <w:ind w:left="2160" w:hanging="360"/>
      </w:pPr>
      <w:rPr>
        <w:rFonts w:ascii="Wingdings 3" w:hAnsi="Wingdings 3" w:hint="default"/>
      </w:rPr>
    </w:lvl>
    <w:lvl w:ilvl="3" w:tplc="6D1AE1D0" w:tentative="1">
      <w:start w:val="1"/>
      <w:numFmt w:val="bullet"/>
      <w:lvlText w:val=""/>
      <w:lvlJc w:val="left"/>
      <w:pPr>
        <w:tabs>
          <w:tab w:val="num" w:pos="2880"/>
        </w:tabs>
        <w:ind w:left="2880" w:hanging="360"/>
      </w:pPr>
      <w:rPr>
        <w:rFonts w:ascii="Wingdings 3" w:hAnsi="Wingdings 3" w:hint="default"/>
      </w:rPr>
    </w:lvl>
    <w:lvl w:ilvl="4" w:tplc="AD948820" w:tentative="1">
      <w:start w:val="1"/>
      <w:numFmt w:val="bullet"/>
      <w:lvlText w:val=""/>
      <w:lvlJc w:val="left"/>
      <w:pPr>
        <w:tabs>
          <w:tab w:val="num" w:pos="3600"/>
        </w:tabs>
        <w:ind w:left="3600" w:hanging="360"/>
      </w:pPr>
      <w:rPr>
        <w:rFonts w:ascii="Wingdings 3" w:hAnsi="Wingdings 3" w:hint="default"/>
      </w:rPr>
    </w:lvl>
    <w:lvl w:ilvl="5" w:tplc="AFC6C398" w:tentative="1">
      <w:start w:val="1"/>
      <w:numFmt w:val="bullet"/>
      <w:lvlText w:val=""/>
      <w:lvlJc w:val="left"/>
      <w:pPr>
        <w:tabs>
          <w:tab w:val="num" w:pos="4320"/>
        </w:tabs>
        <w:ind w:left="4320" w:hanging="360"/>
      </w:pPr>
      <w:rPr>
        <w:rFonts w:ascii="Wingdings 3" w:hAnsi="Wingdings 3" w:hint="default"/>
      </w:rPr>
    </w:lvl>
    <w:lvl w:ilvl="6" w:tplc="567688B8" w:tentative="1">
      <w:start w:val="1"/>
      <w:numFmt w:val="bullet"/>
      <w:lvlText w:val=""/>
      <w:lvlJc w:val="left"/>
      <w:pPr>
        <w:tabs>
          <w:tab w:val="num" w:pos="5040"/>
        </w:tabs>
        <w:ind w:left="5040" w:hanging="360"/>
      </w:pPr>
      <w:rPr>
        <w:rFonts w:ascii="Wingdings 3" w:hAnsi="Wingdings 3" w:hint="default"/>
      </w:rPr>
    </w:lvl>
    <w:lvl w:ilvl="7" w:tplc="5C967DE0" w:tentative="1">
      <w:start w:val="1"/>
      <w:numFmt w:val="bullet"/>
      <w:lvlText w:val=""/>
      <w:lvlJc w:val="left"/>
      <w:pPr>
        <w:tabs>
          <w:tab w:val="num" w:pos="5760"/>
        </w:tabs>
        <w:ind w:left="5760" w:hanging="360"/>
      </w:pPr>
      <w:rPr>
        <w:rFonts w:ascii="Wingdings 3" w:hAnsi="Wingdings 3" w:hint="default"/>
      </w:rPr>
    </w:lvl>
    <w:lvl w:ilvl="8" w:tplc="618A7AA4"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346535C3"/>
    <w:multiLevelType w:val="multilevel"/>
    <w:tmpl w:val="CEA2A6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38DD3077"/>
    <w:multiLevelType w:val="hybridMultilevel"/>
    <w:tmpl w:val="1C38D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3726D3"/>
    <w:multiLevelType w:val="hybridMultilevel"/>
    <w:tmpl w:val="2DBA84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C8A333A"/>
    <w:multiLevelType w:val="hybridMultilevel"/>
    <w:tmpl w:val="FC563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BF3588"/>
    <w:multiLevelType w:val="hybridMultilevel"/>
    <w:tmpl w:val="B2366C46"/>
    <w:lvl w:ilvl="0" w:tplc="2AAEBDCC">
      <w:start w:val="1"/>
      <w:numFmt w:val="bullet"/>
      <w:lvlText w:val=""/>
      <w:lvlJc w:val="left"/>
      <w:pPr>
        <w:tabs>
          <w:tab w:val="num" w:pos="720"/>
        </w:tabs>
        <w:ind w:left="720" w:hanging="360"/>
      </w:pPr>
      <w:rPr>
        <w:rFonts w:ascii="Wingdings 3" w:hAnsi="Wingdings 3" w:hint="default"/>
      </w:rPr>
    </w:lvl>
    <w:lvl w:ilvl="1" w:tplc="C4F22890" w:tentative="1">
      <w:start w:val="1"/>
      <w:numFmt w:val="bullet"/>
      <w:lvlText w:val=""/>
      <w:lvlJc w:val="left"/>
      <w:pPr>
        <w:tabs>
          <w:tab w:val="num" w:pos="1440"/>
        </w:tabs>
        <w:ind w:left="1440" w:hanging="360"/>
      </w:pPr>
      <w:rPr>
        <w:rFonts w:ascii="Wingdings 3" w:hAnsi="Wingdings 3" w:hint="default"/>
      </w:rPr>
    </w:lvl>
    <w:lvl w:ilvl="2" w:tplc="79CAAB22" w:tentative="1">
      <w:start w:val="1"/>
      <w:numFmt w:val="bullet"/>
      <w:lvlText w:val=""/>
      <w:lvlJc w:val="left"/>
      <w:pPr>
        <w:tabs>
          <w:tab w:val="num" w:pos="2160"/>
        </w:tabs>
        <w:ind w:left="2160" w:hanging="360"/>
      </w:pPr>
      <w:rPr>
        <w:rFonts w:ascii="Wingdings 3" w:hAnsi="Wingdings 3" w:hint="default"/>
      </w:rPr>
    </w:lvl>
    <w:lvl w:ilvl="3" w:tplc="B2A84760" w:tentative="1">
      <w:start w:val="1"/>
      <w:numFmt w:val="bullet"/>
      <w:lvlText w:val=""/>
      <w:lvlJc w:val="left"/>
      <w:pPr>
        <w:tabs>
          <w:tab w:val="num" w:pos="2880"/>
        </w:tabs>
        <w:ind w:left="2880" w:hanging="360"/>
      </w:pPr>
      <w:rPr>
        <w:rFonts w:ascii="Wingdings 3" w:hAnsi="Wingdings 3" w:hint="default"/>
      </w:rPr>
    </w:lvl>
    <w:lvl w:ilvl="4" w:tplc="A232FB0C" w:tentative="1">
      <w:start w:val="1"/>
      <w:numFmt w:val="bullet"/>
      <w:lvlText w:val=""/>
      <w:lvlJc w:val="left"/>
      <w:pPr>
        <w:tabs>
          <w:tab w:val="num" w:pos="3600"/>
        </w:tabs>
        <w:ind w:left="3600" w:hanging="360"/>
      </w:pPr>
      <w:rPr>
        <w:rFonts w:ascii="Wingdings 3" w:hAnsi="Wingdings 3" w:hint="default"/>
      </w:rPr>
    </w:lvl>
    <w:lvl w:ilvl="5" w:tplc="A1C48B56" w:tentative="1">
      <w:start w:val="1"/>
      <w:numFmt w:val="bullet"/>
      <w:lvlText w:val=""/>
      <w:lvlJc w:val="left"/>
      <w:pPr>
        <w:tabs>
          <w:tab w:val="num" w:pos="4320"/>
        </w:tabs>
        <w:ind w:left="4320" w:hanging="360"/>
      </w:pPr>
      <w:rPr>
        <w:rFonts w:ascii="Wingdings 3" w:hAnsi="Wingdings 3" w:hint="default"/>
      </w:rPr>
    </w:lvl>
    <w:lvl w:ilvl="6" w:tplc="C5061F74" w:tentative="1">
      <w:start w:val="1"/>
      <w:numFmt w:val="bullet"/>
      <w:lvlText w:val=""/>
      <w:lvlJc w:val="left"/>
      <w:pPr>
        <w:tabs>
          <w:tab w:val="num" w:pos="5040"/>
        </w:tabs>
        <w:ind w:left="5040" w:hanging="360"/>
      </w:pPr>
      <w:rPr>
        <w:rFonts w:ascii="Wingdings 3" w:hAnsi="Wingdings 3" w:hint="default"/>
      </w:rPr>
    </w:lvl>
    <w:lvl w:ilvl="7" w:tplc="111E04EE" w:tentative="1">
      <w:start w:val="1"/>
      <w:numFmt w:val="bullet"/>
      <w:lvlText w:val=""/>
      <w:lvlJc w:val="left"/>
      <w:pPr>
        <w:tabs>
          <w:tab w:val="num" w:pos="5760"/>
        </w:tabs>
        <w:ind w:left="5760" w:hanging="360"/>
      </w:pPr>
      <w:rPr>
        <w:rFonts w:ascii="Wingdings 3" w:hAnsi="Wingdings 3" w:hint="default"/>
      </w:rPr>
    </w:lvl>
    <w:lvl w:ilvl="8" w:tplc="8D348014" w:tentative="1">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3ED526FC"/>
    <w:multiLevelType w:val="hybridMultilevel"/>
    <w:tmpl w:val="2DAC7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585FBB"/>
    <w:multiLevelType w:val="hybridMultilevel"/>
    <w:tmpl w:val="3D4CE5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FDF035E"/>
    <w:multiLevelType w:val="hybridMultilevel"/>
    <w:tmpl w:val="C1B4A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6E0740"/>
    <w:multiLevelType w:val="hybridMultilevel"/>
    <w:tmpl w:val="A7448E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6CE2194"/>
    <w:multiLevelType w:val="hybridMultilevel"/>
    <w:tmpl w:val="ACA48A60"/>
    <w:lvl w:ilvl="0" w:tplc="E9F0627A">
      <w:start w:val="1"/>
      <w:numFmt w:val="bullet"/>
      <w:lvlText w:val="-"/>
      <w:lvlJc w:val="left"/>
      <w:pPr>
        <w:tabs>
          <w:tab w:val="num" w:pos="360"/>
        </w:tabs>
        <w:ind w:left="360" w:hanging="360"/>
      </w:pPr>
      <w:rPr>
        <w:rFonts w:ascii="Times New Roman" w:hAnsi="Times New Roman" w:hint="default"/>
      </w:rPr>
    </w:lvl>
    <w:lvl w:ilvl="1" w:tplc="67EE79F8" w:tentative="1">
      <w:start w:val="1"/>
      <w:numFmt w:val="bullet"/>
      <w:lvlText w:val="-"/>
      <w:lvlJc w:val="left"/>
      <w:pPr>
        <w:tabs>
          <w:tab w:val="num" w:pos="1080"/>
        </w:tabs>
        <w:ind w:left="1080" w:hanging="360"/>
      </w:pPr>
      <w:rPr>
        <w:rFonts w:ascii="Times New Roman" w:hAnsi="Times New Roman" w:hint="default"/>
      </w:rPr>
    </w:lvl>
    <w:lvl w:ilvl="2" w:tplc="BDDEA7C6" w:tentative="1">
      <w:start w:val="1"/>
      <w:numFmt w:val="bullet"/>
      <w:lvlText w:val="-"/>
      <w:lvlJc w:val="left"/>
      <w:pPr>
        <w:tabs>
          <w:tab w:val="num" w:pos="1800"/>
        </w:tabs>
        <w:ind w:left="1800" w:hanging="360"/>
      </w:pPr>
      <w:rPr>
        <w:rFonts w:ascii="Times New Roman" w:hAnsi="Times New Roman" w:hint="default"/>
      </w:rPr>
    </w:lvl>
    <w:lvl w:ilvl="3" w:tplc="C726995C" w:tentative="1">
      <w:start w:val="1"/>
      <w:numFmt w:val="bullet"/>
      <w:lvlText w:val="-"/>
      <w:lvlJc w:val="left"/>
      <w:pPr>
        <w:tabs>
          <w:tab w:val="num" w:pos="2520"/>
        </w:tabs>
        <w:ind w:left="2520" w:hanging="360"/>
      </w:pPr>
      <w:rPr>
        <w:rFonts w:ascii="Times New Roman" w:hAnsi="Times New Roman" w:hint="default"/>
      </w:rPr>
    </w:lvl>
    <w:lvl w:ilvl="4" w:tplc="FE4C71EA" w:tentative="1">
      <w:start w:val="1"/>
      <w:numFmt w:val="bullet"/>
      <w:lvlText w:val="-"/>
      <w:lvlJc w:val="left"/>
      <w:pPr>
        <w:tabs>
          <w:tab w:val="num" w:pos="3240"/>
        </w:tabs>
        <w:ind w:left="3240" w:hanging="360"/>
      </w:pPr>
      <w:rPr>
        <w:rFonts w:ascii="Times New Roman" w:hAnsi="Times New Roman" w:hint="default"/>
      </w:rPr>
    </w:lvl>
    <w:lvl w:ilvl="5" w:tplc="80167312" w:tentative="1">
      <w:start w:val="1"/>
      <w:numFmt w:val="bullet"/>
      <w:lvlText w:val="-"/>
      <w:lvlJc w:val="left"/>
      <w:pPr>
        <w:tabs>
          <w:tab w:val="num" w:pos="3960"/>
        </w:tabs>
        <w:ind w:left="3960" w:hanging="360"/>
      </w:pPr>
      <w:rPr>
        <w:rFonts w:ascii="Times New Roman" w:hAnsi="Times New Roman" w:hint="default"/>
      </w:rPr>
    </w:lvl>
    <w:lvl w:ilvl="6" w:tplc="1E666EFA" w:tentative="1">
      <w:start w:val="1"/>
      <w:numFmt w:val="bullet"/>
      <w:lvlText w:val="-"/>
      <w:lvlJc w:val="left"/>
      <w:pPr>
        <w:tabs>
          <w:tab w:val="num" w:pos="4680"/>
        </w:tabs>
        <w:ind w:left="4680" w:hanging="360"/>
      </w:pPr>
      <w:rPr>
        <w:rFonts w:ascii="Times New Roman" w:hAnsi="Times New Roman" w:hint="default"/>
      </w:rPr>
    </w:lvl>
    <w:lvl w:ilvl="7" w:tplc="D91A4C0E" w:tentative="1">
      <w:start w:val="1"/>
      <w:numFmt w:val="bullet"/>
      <w:lvlText w:val="-"/>
      <w:lvlJc w:val="left"/>
      <w:pPr>
        <w:tabs>
          <w:tab w:val="num" w:pos="5400"/>
        </w:tabs>
        <w:ind w:left="5400" w:hanging="360"/>
      </w:pPr>
      <w:rPr>
        <w:rFonts w:ascii="Times New Roman" w:hAnsi="Times New Roman" w:hint="default"/>
      </w:rPr>
    </w:lvl>
    <w:lvl w:ilvl="8" w:tplc="4D22907A" w:tentative="1">
      <w:start w:val="1"/>
      <w:numFmt w:val="bullet"/>
      <w:lvlText w:val="-"/>
      <w:lvlJc w:val="left"/>
      <w:pPr>
        <w:tabs>
          <w:tab w:val="num" w:pos="6120"/>
        </w:tabs>
        <w:ind w:left="6120" w:hanging="360"/>
      </w:pPr>
      <w:rPr>
        <w:rFonts w:ascii="Times New Roman" w:hAnsi="Times New Roman" w:hint="default"/>
      </w:rPr>
    </w:lvl>
  </w:abstractNum>
  <w:abstractNum w:abstractNumId="24" w15:restartNumberingAfterBreak="0">
    <w:nsid w:val="49475E31"/>
    <w:multiLevelType w:val="hybridMultilevel"/>
    <w:tmpl w:val="D228F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AC706B6"/>
    <w:multiLevelType w:val="hybridMultilevel"/>
    <w:tmpl w:val="36E2EFCC"/>
    <w:lvl w:ilvl="0" w:tplc="23607A60">
      <w:start w:val="1"/>
      <w:numFmt w:val="bullet"/>
      <w:lvlText w:val="-"/>
      <w:lvlJc w:val="left"/>
      <w:pPr>
        <w:tabs>
          <w:tab w:val="num" w:pos="360"/>
        </w:tabs>
        <w:ind w:left="360" w:hanging="360"/>
      </w:pPr>
      <w:rPr>
        <w:rFonts w:ascii="Times New Roman" w:hAnsi="Times New Roman" w:hint="default"/>
      </w:rPr>
    </w:lvl>
    <w:lvl w:ilvl="1" w:tplc="1DBC37B0" w:tentative="1">
      <w:start w:val="1"/>
      <w:numFmt w:val="bullet"/>
      <w:lvlText w:val="-"/>
      <w:lvlJc w:val="left"/>
      <w:pPr>
        <w:tabs>
          <w:tab w:val="num" w:pos="1080"/>
        </w:tabs>
        <w:ind w:left="1080" w:hanging="360"/>
      </w:pPr>
      <w:rPr>
        <w:rFonts w:ascii="Times New Roman" w:hAnsi="Times New Roman" w:hint="default"/>
      </w:rPr>
    </w:lvl>
    <w:lvl w:ilvl="2" w:tplc="A2B0C612" w:tentative="1">
      <w:start w:val="1"/>
      <w:numFmt w:val="bullet"/>
      <w:lvlText w:val="-"/>
      <w:lvlJc w:val="left"/>
      <w:pPr>
        <w:tabs>
          <w:tab w:val="num" w:pos="1800"/>
        </w:tabs>
        <w:ind w:left="1800" w:hanging="360"/>
      </w:pPr>
      <w:rPr>
        <w:rFonts w:ascii="Times New Roman" w:hAnsi="Times New Roman" w:hint="default"/>
      </w:rPr>
    </w:lvl>
    <w:lvl w:ilvl="3" w:tplc="4BF2D112" w:tentative="1">
      <w:start w:val="1"/>
      <w:numFmt w:val="bullet"/>
      <w:lvlText w:val="-"/>
      <w:lvlJc w:val="left"/>
      <w:pPr>
        <w:tabs>
          <w:tab w:val="num" w:pos="2520"/>
        </w:tabs>
        <w:ind w:left="2520" w:hanging="360"/>
      </w:pPr>
      <w:rPr>
        <w:rFonts w:ascii="Times New Roman" w:hAnsi="Times New Roman" w:hint="default"/>
      </w:rPr>
    </w:lvl>
    <w:lvl w:ilvl="4" w:tplc="18EC72F0" w:tentative="1">
      <w:start w:val="1"/>
      <w:numFmt w:val="bullet"/>
      <w:lvlText w:val="-"/>
      <w:lvlJc w:val="left"/>
      <w:pPr>
        <w:tabs>
          <w:tab w:val="num" w:pos="3240"/>
        </w:tabs>
        <w:ind w:left="3240" w:hanging="360"/>
      </w:pPr>
      <w:rPr>
        <w:rFonts w:ascii="Times New Roman" w:hAnsi="Times New Roman" w:hint="default"/>
      </w:rPr>
    </w:lvl>
    <w:lvl w:ilvl="5" w:tplc="D776517E" w:tentative="1">
      <w:start w:val="1"/>
      <w:numFmt w:val="bullet"/>
      <w:lvlText w:val="-"/>
      <w:lvlJc w:val="left"/>
      <w:pPr>
        <w:tabs>
          <w:tab w:val="num" w:pos="3960"/>
        </w:tabs>
        <w:ind w:left="3960" w:hanging="360"/>
      </w:pPr>
      <w:rPr>
        <w:rFonts w:ascii="Times New Roman" w:hAnsi="Times New Roman" w:hint="default"/>
      </w:rPr>
    </w:lvl>
    <w:lvl w:ilvl="6" w:tplc="B13E2250" w:tentative="1">
      <w:start w:val="1"/>
      <w:numFmt w:val="bullet"/>
      <w:lvlText w:val="-"/>
      <w:lvlJc w:val="left"/>
      <w:pPr>
        <w:tabs>
          <w:tab w:val="num" w:pos="4680"/>
        </w:tabs>
        <w:ind w:left="4680" w:hanging="360"/>
      </w:pPr>
      <w:rPr>
        <w:rFonts w:ascii="Times New Roman" w:hAnsi="Times New Roman" w:hint="default"/>
      </w:rPr>
    </w:lvl>
    <w:lvl w:ilvl="7" w:tplc="B5D8B806" w:tentative="1">
      <w:start w:val="1"/>
      <w:numFmt w:val="bullet"/>
      <w:lvlText w:val="-"/>
      <w:lvlJc w:val="left"/>
      <w:pPr>
        <w:tabs>
          <w:tab w:val="num" w:pos="5400"/>
        </w:tabs>
        <w:ind w:left="5400" w:hanging="360"/>
      </w:pPr>
      <w:rPr>
        <w:rFonts w:ascii="Times New Roman" w:hAnsi="Times New Roman" w:hint="default"/>
      </w:rPr>
    </w:lvl>
    <w:lvl w:ilvl="8" w:tplc="7220B1D6" w:tentative="1">
      <w:start w:val="1"/>
      <w:numFmt w:val="bullet"/>
      <w:lvlText w:val="-"/>
      <w:lvlJc w:val="left"/>
      <w:pPr>
        <w:tabs>
          <w:tab w:val="num" w:pos="6120"/>
        </w:tabs>
        <w:ind w:left="6120" w:hanging="360"/>
      </w:pPr>
      <w:rPr>
        <w:rFonts w:ascii="Times New Roman" w:hAnsi="Times New Roman" w:hint="default"/>
      </w:rPr>
    </w:lvl>
  </w:abstractNum>
  <w:abstractNum w:abstractNumId="26" w15:restartNumberingAfterBreak="0">
    <w:nsid w:val="4DE106A4"/>
    <w:multiLevelType w:val="hybridMultilevel"/>
    <w:tmpl w:val="CE727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E03DAF"/>
    <w:multiLevelType w:val="hybridMultilevel"/>
    <w:tmpl w:val="4A589D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0B27292"/>
    <w:multiLevelType w:val="hybridMultilevel"/>
    <w:tmpl w:val="2E12D3CA"/>
    <w:lvl w:ilvl="0" w:tplc="AE36F896">
      <w:start w:val="1"/>
      <w:numFmt w:val="bullet"/>
      <w:lvlText w:val="-"/>
      <w:lvlJc w:val="left"/>
      <w:pPr>
        <w:tabs>
          <w:tab w:val="num" w:pos="360"/>
        </w:tabs>
        <w:ind w:left="360" w:hanging="360"/>
      </w:pPr>
      <w:rPr>
        <w:rFonts w:ascii="Times New Roman" w:hAnsi="Times New Roman" w:hint="default"/>
      </w:rPr>
    </w:lvl>
    <w:lvl w:ilvl="1" w:tplc="23524302" w:tentative="1">
      <w:start w:val="1"/>
      <w:numFmt w:val="bullet"/>
      <w:lvlText w:val="-"/>
      <w:lvlJc w:val="left"/>
      <w:pPr>
        <w:tabs>
          <w:tab w:val="num" w:pos="1080"/>
        </w:tabs>
        <w:ind w:left="1080" w:hanging="360"/>
      </w:pPr>
      <w:rPr>
        <w:rFonts w:ascii="Times New Roman" w:hAnsi="Times New Roman" w:hint="default"/>
      </w:rPr>
    </w:lvl>
    <w:lvl w:ilvl="2" w:tplc="11F43388" w:tentative="1">
      <w:start w:val="1"/>
      <w:numFmt w:val="bullet"/>
      <w:lvlText w:val="-"/>
      <w:lvlJc w:val="left"/>
      <w:pPr>
        <w:tabs>
          <w:tab w:val="num" w:pos="1800"/>
        </w:tabs>
        <w:ind w:left="1800" w:hanging="360"/>
      </w:pPr>
      <w:rPr>
        <w:rFonts w:ascii="Times New Roman" w:hAnsi="Times New Roman" w:hint="default"/>
      </w:rPr>
    </w:lvl>
    <w:lvl w:ilvl="3" w:tplc="583C6A3A" w:tentative="1">
      <w:start w:val="1"/>
      <w:numFmt w:val="bullet"/>
      <w:lvlText w:val="-"/>
      <w:lvlJc w:val="left"/>
      <w:pPr>
        <w:tabs>
          <w:tab w:val="num" w:pos="2520"/>
        </w:tabs>
        <w:ind w:left="2520" w:hanging="360"/>
      </w:pPr>
      <w:rPr>
        <w:rFonts w:ascii="Times New Roman" w:hAnsi="Times New Roman" w:hint="default"/>
      </w:rPr>
    </w:lvl>
    <w:lvl w:ilvl="4" w:tplc="9F5AE174" w:tentative="1">
      <w:start w:val="1"/>
      <w:numFmt w:val="bullet"/>
      <w:lvlText w:val="-"/>
      <w:lvlJc w:val="left"/>
      <w:pPr>
        <w:tabs>
          <w:tab w:val="num" w:pos="3240"/>
        </w:tabs>
        <w:ind w:left="3240" w:hanging="360"/>
      </w:pPr>
      <w:rPr>
        <w:rFonts w:ascii="Times New Roman" w:hAnsi="Times New Roman" w:hint="default"/>
      </w:rPr>
    </w:lvl>
    <w:lvl w:ilvl="5" w:tplc="A4E8F658" w:tentative="1">
      <w:start w:val="1"/>
      <w:numFmt w:val="bullet"/>
      <w:lvlText w:val="-"/>
      <w:lvlJc w:val="left"/>
      <w:pPr>
        <w:tabs>
          <w:tab w:val="num" w:pos="3960"/>
        </w:tabs>
        <w:ind w:left="3960" w:hanging="360"/>
      </w:pPr>
      <w:rPr>
        <w:rFonts w:ascii="Times New Roman" w:hAnsi="Times New Roman" w:hint="default"/>
      </w:rPr>
    </w:lvl>
    <w:lvl w:ilvl="6" w:tplc="44909D4C" w:tentative="1">
      <w:start w:val="1"/>
      <w:numFmt w:val="bullet"/>
      <w:lvlText w:val="-"/>
      <w:lvlJc w:val="left"/>
      <w:pPr>
        <w:tabs>
          <w:tab w:val="num" w:pos="4680"/>
        </w:tabs>
        <w:ind w:left="4680" w:hanging="360"/>
      </w:pPr>
      <w:rPr>
        <w:rFonts w:ascii="Times New Roman" w:hAnsi="Times New Roman" w:hint="default"/>
      </w:rPr>
    </w:lvl>
    <w:lvl w:ilvl="7" w:tplc="1D5A8816" w:tentative="1">
      <w:start w:val="1"/>
      <w:numFmt w:val="bullet"/>
      <w:lvlText w:val="-"/>
      <w:lvlJc w:val="left"/>
      <w:pPr>
        <w:tabs>
          <w:tab w:val="num" w:pos="5400"/>
        </w:tabs>
        <w:ind w:left="5400" w:hanging="360"/>
      </w:pPr>
      <w:rPr>
        <w:rFonts w:ascii="Times New Roman" w:hAnsi="Times New Roman" w:hint="default"/>
      </w:rPr>
    </w:lvl>
    <w:lvl w:ilvl="8" w:tplc="2B164BCA" w:tentative="1">
      <w:start w:val="1"/>
      <w:numFmt w:val="bullet"/>
      <w:lvlText w:val="-"/>
      <w:lvlJc w:val="left"/>
      <w:pPr>
        <w:tabs>
          <w:tab w:val="num" w:pos="6120"/>
        </w:tabs>
        <w:ind w:left="6120" w:hanging="360"/>
      </w:pPr>
      <w:rPr>
        <w:rFonts w:ascii="Times New Roman" w:hAnsi="Times New Roman" w:hint="default"/>
      </w:rPr>
    </w:lvl>
  </w:abstractNum>
  <w:abstractNum w:abstractNumId="29" w15:restartNumberingAfterBreak="0">
    <w:nsid w:val="53EA0EF7"/>
    <w:multiLevelType w:val="hybridMultilevel"/>
    <w:tmpl w:val="7340E3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4CD7CEA"/>
    <w:multiLevelType w:val="hybridMultilevel"/>
    <w:tmpl w:val="60284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5A44863"/>
    <w:multiLevelType w:val="hybridMultilevel"/>
    <w:tmpl w:val="9D5C5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67337C"/>
    <w:multiLevelType w:val="hybridMultilevel"/>
    <w:tmpl w:val="21A073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C53762"/>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60A03843"/>
    <w:multiLevelType w:val="hybridMultilevel"/>
    <w:tmpl w:val="3CBE91DE"/>
    <w:lvl w:ilvl="0" w:tplc="8B829C8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3926DF"/>
    <w:multiLevelType w:val="hybridMultilevel"/>
    <w:tmpl w:val="CEC4EF88"/>
    <w:lvl w:ilvl="0" w:tplc="B67C6A40">
      <w:start w:val="1"/>
      <w:numFmt w:val="bullet"/>
      <w:lvlText w:val="-"/>
      <w:lvlJc w:val="left"/>
      <w:pPr>
        <w:tabs>
          <w:tab w:val="num" w:pos="360"/>
        </w:tabs>
        <w:ind w:left="360" w:hanging="360"/>
      </w:pPr>
      <w:rPr>
        <w:rFonts w:ascii="Times New Roman" w:hAnsi="Times New Roman" w:hint="default"/>
      </w:rPr>
    </w:lvl>
    <w:lvl w:ilvl="1" w:tplc="B17A31AC" w:tentative="1">
      <w:start w:val="1"/>
      <w:numFmt w:val="bullet"/>
      <w:lvlText w:val="-"/>
      <w:lvlJc w:val="left"/>
      <w:pPr>
        <w:tabs>
          <w:tab w:val="num" w:pos="1080"/>
        </w:tabs>
        <w:ind w:left="1080" w:hanging="360"/>
      </w:pPr>
      <w:rPr>
        <w:rFonts w:ascii="Times New Roman" w:hAnsi="Times New Roman" w:hint="default"/>
      </w:rPr>
    </w:lvl>
    <w:lvl w:ilvl="2" w:tplc="EB1083B2" w:tentative="1">
      <w:start w:val="1"/>
      <w:numFmt w:val="bullet"/>
      <w:lvlText w:val="-"/>
      <w:lvlJc w:val="left"/>
      <w:pPr>
        <w:tabs>
          <w:tab w:val="num" w:pos="1800"/>
        </w:tabs>
        <w:ind w:left="1800" w:hanging="360"/>
      </w:pPr>
      <w:rPr>
        <w:rFonts w:ascii="Times New Roman" w:hAnsi="Times New Roman" w:hint="default"/>
      </w:rPr>
    </w:lvl>
    <w:lvl w:ilvl="3" w:tplc="C8145A10" w:tentative="1">
      <w:start w:val="1"/>
      <w:numFmt w:val="bullet"/>
      <w:lvlText w:val="-"/>
      <w:lvlJc w:val="left"/>
      <w:pPr>
        <w:tabs>
          <w:tab w:val="num" w:pos="2520"/>
        </w:tabs>
        <w:ind w:left="2520" w:hanging="360"/>
      </w:pPr>
      <w:rPr>
        <w:rFonts w:ascii="Times New Roman" w:hAnsi="Times New Roman" w:hint="default"/>
      </w:rPr>
    </w:lvl>
    <w:lvl w:ilvl="4" w:tplc="6EF40082" w:tentative="1">
      <w:start w:val="1"/>
      <w:numFmt w:val="bullet"/>
      <w:lvlText w:val="-"/>
      <w:lvlJc w:val="left"/>
      <w:pPr>
        <w:tabs>
          <w:tab w:val="num" w:pos="3240"/>
        </w:tabs>
        <w:ind w:left="3240" w:hanging="360"/>
      </w:pPr>
      <w:rPr>
        <w:rFonts w:ascii="Times New Roman" w:hAnsi="Times New Roman" w:hint="default"/>
      </w:rPr>
    </w:lvl>
    <w:lvl w:ilvl="5" w:tplc="DFAC7F14" w:tentative="1">
      <w:start w:val="1"/>
      <w:numFmt w:val="bullet"/>
      <w:lvlText w:val="-"/>
      <w:lvlJc w:val="left"/>
      <w:pPr>
        <w:tabs>
          <w:tab w:val="num" w:pos="3960"/>
        </w:tabs>
        <w:ind w:left="3960" w:hanging="360"/>
      </w:pPr>
      <w:rPr>
        <w:rFonts w:ascii="Times New Roman" w:hAnsi="Times New Roman" w:hint="default"/>
      </w:rPr>
    </w:lvl>
    <w:lvl w:ilvl="6" w:tplc="8982D028" w:tentative="1">
      <w:start w:val="1"/>
      <w:numFmt w:val="bullet"/>
      <w:lvlText w:val="-"/>
      <w:lvlJc w:val="left"/>
      <w:pPr>
        <w:tabs>
          <w:tab w:val="num" w:pos="4680"/>
        </w:tabs>
        <w:ind w:left="4680" w:hanging="360"/>
      </w:pPr>
      <w:rPr>
        <w:rFonts w:ascii="Times New Roman" w:hAnsi="Times New Roman" w:hint="default"/>
      </w:rPr>
    </w:lvl>
    <w:lvl w:ilvl="7" w:tplc="2AC8A622" w:tentative="1">
      <w:start w:val="1"/>
      <w:numFmt w:val="bullet"/>
      <w:lvlText w:val="-"/>
      <w:lvlJc w:val="left"/>
      <w:pPr>
        <w:tabs>
          <w:tab w:val="num" w:pos="5400"/>
        </w:tabs>
        <w:ind w:left="5400" w:hanging="360"/>
      </w:pPr>
      <w:rPr>
        <w:rFonts w:ascii="Times New Roman" w:hAnsi="Times New Roman" w:hint="default"/>
      </w:rPr>
    </w:lvl>
    <w:lvl w:ilvl="8" w:tplc="EAF439A8" w:tentative="1">
      <w:start w:val="1"/>
      <w:numFmt w:val="bullet"/>
      <w:lvlText w:val="-"/>
      <w:lvlJc w:val="left"/>
      <w:pPr>
        <w:tabs>
          <w:tab w:val="num" w:pos="6120"/>
        </w:tabs>
        <w:ind w:left="6120" w:hanging="360"/>
      </w:pPr>
      <w:rPr>
        <w:rFonts w:ascii="Times New Roman" w:hAnsi="Times New Roman" w:hint="default"/>
      </w:rPr>
    </w:lvl>
  </w:abstractNum>
  <w:abstractNum w:abstractNumId="36" w15:restartNumberingAfterBreak="0">
    <w:nsid w:val="65F65331"/>
    <w:multiLevelType w:val="hybridMultilevel"/>
    <w:tmpl w:val="AE1E597A"/>
    <w:lvl w:ilvl="0" w:tplc="20ACD24E">
      <w:start w:val="1"/>
      <w:numFmt w:val="bullet"/>
      <w:lvlText w:val="-"/>
      <w:lvlJc w:val="left"/>
      <w:pPr>
        <w:tabs>
          <w:tab w:val="num" w:pos="360"/>
        </w:tabs>
        <w:ind w:left="360" w:hanging="360"/>
      </w:pPr>
      <w:rPr>
        <w:rFonts w:ascii="Times New Roman" w:hAnsi="Times New Roman" w:hint="default"/>
      </w:rPr>
    </w:lvl>
    <w:lvl w:ilvl="1" w:tplc="7E2004D2" w:tentative="1">
      <w:start w:val="1"/>
      <w:numFmt w:val="bullet"/>
      <w:lvlText w:val="-"/>
      <w:lvlJc w:val="left"/>
      <w:pPr>
        <w:tabs>
          <w:tab w:val="num" w:pos="1080"/>
        </w:tabs>
        <w:ind w:left="1080" w:hanging="360"/>
      </w:pPr>
      <w:rPr>
        <w:rFonts w:ascii="Times New Roman" w:hAnsi="Times New Roman" w:hint="default"/>
      </w:rPr>
    </w:lvl>
    <w:lvl w:ilvl="2" w:tplc="6A944BF0" w:tentative="1">
      <w:start w:val="1"/>
      <w:numFmt w:val="bullet"/>
      <w:lvlText w:val="-"/>
      <w:lvlJc w:val="left"/>
      <w:pPr>
        <w:tabs>
          <w:tab w:val="num" w:pos="1800"/>
        </w:tabs>
        <w:ind w:left="1800" w:hanging="360"/>
      </w:pPr>
      <w:rPr>
        <w:rFonts w:ascii="Times New Roman" w:hAnsi="Times New Roman" w:hint="default"/>
      </w:rPr>
    </w:lvl>
    <w:lvl w:ilvl="3" w:tplc="AF061E56" w:tentative="1">
      <w:start w:val="1"/>
      <w:numFmt w:val="bullet"/>
      <w:lvlText w:val="-"/>
      <w:lvlJc w:val="left"/>
      <w:pPr>
        <w:tabs>
          <w:tab w:val="num" w:pos="2520"/>
        </w:tabs>
        <w:ind w:left="2520" w:hanging="360"/>
      </w:pPr>
      <w:rPr>
        <w:rFonts w:ascii="Times New Roman" w:hAnsi="Times New Roman" w:hint="default"/>
      </w:rPr>
    </w:lvl>
    <w:lvl w:ilvl="4" w:tplc="3BC42924" w:tentative="1">
      <w:start w:val="1"/>
      <w:numFmt w:val="bullet"/>
      <w:lvlText w:val="-"/>
      <w:lvlJc w:val="left"/>
      <w:pPr>
        <w:tabs>
          <w:tab w:val="num" w:pos="3240"/>
        </w:tabs>
        <w:ind w:left="3240" w:hanging="360"/>
      </w:pPr>
      <w:rPr>
        <w:rFonts w:ascii="Times New Roman" w:hAnsi="Times New Roman" w:hint="default"/>
      </w:rPr>
    </w:lvl>
    <w:lvl w:ilvl="5" w:tplc="BE6CC326" w:tentative="1">
      <w:start w:val="1"/>
      <w:numFmt w:val="bullet"/>
      <w:lvlText w:val="-"/>
      <w:lvlJc w:val="left"/>
      <w:pPr>
        <w:tabs>
          <w:tab w:val="num" w:pos="3960"/>
        </w:tabs>
        <w:ind w:left="3960" w:hanging="360"/>
      </w:pPr>
      <w:rPr>
        <w:rFonts w:ascii="Times New Roman" w:hAnsi="Times New Roman" w:hint="default"/>
      </w:rPr>
    </w:lvl>
    <w:lvl w:ilvl="6" w:tplc="1F64C286" w:tentative="1">
      <w:start w:val="1"/>
      <w:numFmt w:val="bullet"/>
      <w:lvlText w:val="-"/>
      <w:lvlJc w:val="left"/>
      <w:pPr>
        <w:tabs>
          <w:tab w:val="num" w:pos="4680"/>
        </w:tabs>
        <w:ind w:left="4680" w:hanging="360"/>
      </w:pPr>
      <w:rPr>
        <w:rFonts w:ascii="Times New Roman" w:hAnsi="Times New Roman" w:hint="default"/>
      </w:rPr>
    </w:lvl>
    <w:lvl w:ilvl="7" w:tplc="21B6BE4C" w:tentative="1">
      <w:start w:val="1"/>
      <w:numFmt w:val="bullet"/>
      <w:lvlText w:val="-"/>
      <w:lvlJc w:val="left"/>
      <w:pPr>
        <w:tabs>
          <w:tab w:val="num" w:pos="5400"/>
        </w:tabs>
        <w:ind w:left="5400" w:hanging="360"/>
      </w:pPr>
      <w:rPr>
        <w:rFonts w:ascii="Times New Roman" w:hAnsi="Times New Roman" w:hint="default"/>
      </w:rPr>
    </w:lvl>
    <w:lvl w:ilvl="8" w:tplc="10746E14" w:tentative="1">
      <w:start w:val="1"/>
      <w:numFmt w:val="bullet"/>
      <w:lvlText w:val="-"/>
      <w:lvlJc w:val="left"/>
      <w:pPr>
        <w:tabs>
          <w:tab w:val="num" w:pos="6120"/>
        </w:tabs>
        <w:ind w:left="6120" w:hanging="360"/>
      </w:pPr>
      <w:rPr>
        <w:rFonts w:ascii="Times New Roman" w:hAnsi="Times New Roman" w:hint="default"/>
      </w:rPr>
    </w:lvl>
  </w:abstractNum>
  <w:abstractNum w:abstractNumId="37" w15:restartNumberingAfterBreak="0">
    <w:nsid w:val="69650EA0"/>
    <w:multiLevelType w:val="hybridMultilevel"/>
    <w:tmpl w:val="6C9628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C19502B"/>
    <w:multiLevelType w:val="hybridMultilevel"/>
    <w:tmpl w:val="A8EE47BA"/>
    <w:lvl w:ilvl="0" w:tplc="206C150C">
      <w:start w:val="1"/>
      <w:numFmt w:val="bullet"/>
      <w:lvlText w:val="-"/>
      <w:lvlJc w:val="left"/>
      <w:pPr>
        <w:tabs>
          <w:tab w:val="num" w:pos="360"/>
        </w:tabs>
        <w:ind w:left="360" w:hanging="360"/>
      </w:pPr>
      <w:rPr>
        <w:rFonts w:ascii="Times New Roman" w:hAnsi="Times New Roman" w:hint="default"/>
      </w:rPr>
    </w:lvl>
    <w:lvl w:ilvl="1" w:tplc="D45ECFAC" w:tentative="1">
      <w:start w:val="1"/>
      <w:numFmt w:val="bullet"/>
      <w:lvlText w:val="-"/>
      <w:lvlJc w:val="left"/>
      <w:pPr>
        <w:tabs>
          <w:tab w:val="num" w:pos="1080"/>
        </w:tabs>
        <w:ind w:left="1080" w:hanging="360"/>
      </w:pPr>
      <w:rPr>
        <w:rFonts w:ascii="Times New Roman" w:hAnsi="Times New Roman" w:hint="default"/>
      </w:rPr>
    </w:lvl>
    <w:lvl w:ilvl="2" w:tplc="90AEFE92" w:tentative="1">
      <w:start w:val="1"/>
      <w:numFmt w:val="bullet"/>
      <w:lvlText w:val="-"/>
      <w:lvlJc w:val="left"/>
      <w:pPr>
        <w:tabs>
          <w:tab w:val="num" w:pos="1800"/>
        </w:tabs>
        <w:ind w:left="1800" w:hanging="360"/>
      </w:pPr>
      <w:rPr>
        <w:rFonts w:ascii="Times New Roman" w:hAnsi="Times New Roman" w:hint="default"/>
      </w:rPr>
    </w:lvl>
    <w:lvl w:ilvl="3" w:tplc="DCE038E4" w:tentative="1">
      <w:start w:val="1"/>
      <w:numFmt w:val="bullet"/>
      <w:lvlText w:val="-"/>
      <w:lvlJc w:val="left"/>
      <w:pPr>
        <w:tabs>
          <w:tab w:val="num" w:pos="2520"/>
        </w:tabs>
        <w:ind w:left="2520" w:hanging="360"/>
      </w:pPr>
      <w:rPr>
        <w:rFonts w:ascii="Times New Roman" w:hAnsi="Times New Roman" w:hint="default"/>
      </w:rPr>
    </w:lvl>
    <w:lvl w:ilvl="4" w:tplc="D2E41AB6" w:tentative="1">
      <w:start w:val="1"/>
      <w:numFmt w:val="bullet"/>
      <w:lvlText w:val="-"/>
      <w:lvlJc w:val="left"/>
      <w:pPr>
        <w:tabs>
          <w:tab w:val="num" w:pos="3240"/>
        </w:tabs>
        <w:ind w:left="3240" w:hanging="360"/>
      </w:pPr>
      <w:rPr>
        <w:rFonts w:ascii="Times New Roman" w:hAnsi="Times New Roman" w:hint="default"/>
      </w:rPr>
    </w:lvl>
    <w:lvl w:ilvl="5" w:tplc="0A48E0D2" w:tentative="1">
      <w:start w:val="1"/>
      <w:numFmt w:val="bullet"/>
      <w:lvlText w:val="-"/>
      <w:lvlJc w:val="left"/>
      <w:pPr>
        <w:tabs>
          <w:tab w:val="num" w:pos="3960"/>
        </w:tabs>
        <w:ind w:left="3960" w:hanging="360"/>
      </w:pPr>
      <w:rPr>
        <w:rFonts w:ascii="Times New Roman" w:hAnsi="Times New Roman" w:hint="default"/>
      </w:rPr>
    </w:lvl>
    <w:lvl w:ilvl="6" w:tplc="55C24558" w:tentative="1">
      <w:start w:val="1"/>
      <w:numFmt w:val="bullet"/>
      <w:lvlText w:val="-"/>
      <w:lvlJc w:val="left"/>
      <w:pPr>
        <w:tabs>
          <w:tab w:val="num" w:pos="4680"/>
        </w:tabs>
        <w:ind w:left="4680" w:hanging="360"/>
      </w:pPr>
      <w:rPr>
        <w:rFonts w:ascii="Times New Roman" w:hAnsi="Times New Roman" w:hint="default"/>
      </w:rPr>
    </w:lvl>
    <w:lvl w:ilvl="7" w:tplc="8BE2C974" w:tentative="1">
      <w:start w:val="1"/>
      <w:numFmt w:val="bullet"/>
      <w:lvlText w:val="-"/>
      <w:lvlJc w:val="left"/>
      <w:pPr>
        <w:tabs>
          <w:tab w:val="num" w:pos="5400"/>
        </w:tabs>
        <w:ind w:left="5400" w:hanging="360"/>
      </w:pPr>
      <w:rPr>
        <w:rFonts w:ascii="Times New Roman" w:hAnsi="Times New Roman" w:hint="default"/>
      </w:rPr>
    </w:lvl>
    <w:lvl w:ilvl="8" w:tplc="20E0A7EE" w:tentative="1">
      <w:start w:val="1"/>
      <w:numFmt w:val="bullet"/>
      <w:lvlText w:val="-"/>
      <w:lvlJc w:val="left"/>
      <w:pPr>
        <w:tabs>
          <w:tab w:val="num" w:pos="6120"/>
        </w:tabs>
        <w:ind w:left="6120" w:hanging="360"/>
      </w:pPr>
      <w:rPr>
        <w:rFonts w:ascii="Times New Roman" w:hAnsi="Times New Roman" w:hint="default"/>
      </w:rPr>
    </w:lvl>
  </w:abstractNum>
  <w:abstractNum w:abstractNumId="39" w15:restartNumberingAfterBreak="0">
    <w:nsid w:val="6F684AA0"/>
    <w:multiLevelType w:val="hybridMultilevel"/>
    <w:tmpl w:val="639AA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C82D5D"/>
    <w:multiLevelType w:val="hybridMultilevel"/>
    <w:tmpl w:val="05886BDA"/>
    <w:lvl w:ilvl="0" w:tplc="EED607DE">
      <w:start w:val="1"/>
      <w:numFmt w:val="bullet"/>
      <w:lvlText w:val=""/>
      <w:lvlJc w:val="left"/>
      <w:pPr>
        <w:tabs>
          <w:tab w:val="num" w:pos="720"/>
        </w:tabs>
        <w:ind w:left="720" w:hanging="360"/>
      </w:pPr>
      <w:rPr>
        <w:rFonts w:ascii="Wingdings 3" w:hAnsi="Wingdings 3" w:hint="default"/>
      </w:rPr>
    </w:lvl>
    <w:lvl w:ilvl="1" w:tplc="2EACD044" w:tentative="1">
      <w:start w:val="1"/>
      <w:numFmt w:val="bullet"/>
      <w:lvlText w:val=""/>
      <w:lvlJc w:val="left"/>
      <w:pPr>
        <w:tabs>
          <w:tab w:val="num" w:pos="1440"/>
        </w:tabs>
        <w:ind w:left="1440" w:hanging="360"/>
      </w:pPr>
      <w:rPr>
        <w:rFonts w:ascii="Wingdings 3" w:hAnsi="Wingdings 3" w:hint="default"/>
      </w:rPr>
    </w:lvl>
    <w:lvl w:ilvl="2" w:tplc="51745CE2" w:tentative="1">
      <w:start w:val="1"/>
      <w:numFmt w:val="bullet"/>
      <w:lvlText w:val=""/>
      <w:lvlJc w:val="left"/>
      <w:pPr>
        <w:tabs>
          <w:tab w:val="num" w:pos="2160"/>
        </w:tabs>
        <w:ind w:left="2160" w:hanging="360"/>
      </w:pPr>
      <w:rPr>
        <w:rFonts w:ascii="Wingdings 3" w:hAnsi="Wingdings 3" w:hint="default"/>
      </w:rPr>
    </w:lvl>
    <w:lvl w:ilvl="3" w:tplc="B36A9BE8" w:tentative="1">
      <w:start w:val="1"/>
      <w:numFmt w:val="bullet"/>
      <w:lvlText w:val=""/>
      <w:lvlJc w:val="left"/>
      <w:pPr>
        <w:tabs>
          <w:tab w:val="num" w:pos="2880"/>
        </w:tabs>
        <w:ind w:left="2880" w:hanging="360"/>
      </w:pPr>
      <w:rPr>
        <w:rFonts w:ascii="Wingdings 3" w:hAnsi="Wingdings 3" w:hint="default"/>
      </w:rPr>
    </w:lvl>
    <w:lvl w:ilvl="4" w:tplc="B61C0930" w:tentative="1">
      <w:start w:val="1"/>
      <w:numFmt w:val="bullet"/>
      <w:lvlText w:val=""/>
      <w:lvlJc w:val="left"/>
      <w:pPr>
        <w:tabs>
          <w:tab w:val="num" w:pos="3600"/>
        </w:tabs>
        <w:ind w:left="3600" w:hanging="360"/>
      </w:pPr>
      <w:rPr>
        <w:rFonts w:ascii="Wingdings 3" w:hAnsi="Wingdings 3" w:hint="default"/>
      </w:rPr>
    </w:lvl>
    <w:lvl w:ilvl="5" w:tplc="BF06F79A" w:tentative="1">
      <w:start w:val="1"/>
      <w:numFmt w:val="bullet"/>
      <w:lvlText w:val=""/>
      <w:lvlJc w:val="left"/>
      <w:pPr>
        <w:tabs>
          <w:tab w:val="num" w:pos="4320"/>
        </w:tabs>
        <w:ind w:left="4320" w:hanging="360"/>
      </w:pPr>
      <w:rPr>
        <w:rFonts w:ascii="Wingdings 3" w:hAnsi="Wingdings 3" w:hint="default"/>
      </w:rPr>
    </w:lvl>
    <w:lvl w:ilvl="6" w:tplc="61324680" w:tentative="1">
      <w:start w:val="1"/>
      <w:numFmt w:val="bullet"/>
      <w:lvlText w:val=""/>
      <w:lvlJc w:val="left"/>
      <w:pPr>
        <w:tabs>
          <w:tab w:val="num" w:pos="5040"/>
        </w:tabs>
        <w:ind w:left="5040" w:hanging="360"/>
      </w:pPr>
      <w:rPr>
        <w:rFonts w:ascii="Wingdings 3" w:hAnsi="Wingdings 3" w:hint="default"/>
      </w:rPr>
    </w:lvl>
    <w:lvl w:ilvl="7" w:tplc="EBFCD9BE" w:tentative="1">
      <w:start w:val="1"/>
      <w:numFmt w:val="bullet"/>
      <w:lvlText w:val=""/>
      <w:lvlJc w:val="left"/>
      <w:pPr>
        <w:tabs>
          <w:tab w:val="num" w:pos="5760"/>
        </w:tabs>
        <w:ind w:left="5760" w:hanging="360"/>
      </w:pPr>
      <w:rPr>
        <w:rFonts w:ascii="Wingdings 3" w:hAnsi="Wingdings 3" w:hint="default"/>
      </w:rPr>
    </w:lvl>
    <w:lvl w:ilvl="8" w:tplc="1022276E" w:tentative="1">
      <w:start w:val="1"/>
      <w:numFmt w:val="bullet"/>
      <w:lvlText w:val=""/>
      <w:lvlJc w:val="left"/>
      <w:pPr>
        <w:tabs>
          <w:tab w:val="num" w:pos="6480"/>
        </w:tabs>
        <w:ind w:left="6480" w:hanging="360"/>
      </w:pPr>
      <w:rPr>
        <w:rFonts w:ascii="Wingdings 3" w:hAnsi="Wingdings 3" w:hint="default"/>
      </w:rPr>
    </w:lvl>
  </w:abstractNum>
  <w:abstractNum w:abstractNumId="41" w15:restartNumberingAfterBreak="0">
    <w:nsid w:val="76963B5A"/>
    <w:multiLevelType w:val="hybridMultilevel"/>
    <w:tmpl w:val="6AA0F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80091A"/>
    <w:multiLevelType w:val="hybridMultilevel"/>
    <w:tmpl w:val="DCE28220"/>
    <w:lvl w:ilvl="0" w:tplc="A002FD60">
      <w:start w:val="1"/>
      <w:numFmt w:val="bullet"/>
      <w:lvlText w:val="-"/>
      <w:lvlJc w:val="left"/>
      <w:pPr>
        <w:tabs>
          <w:tab w:val="num" w:pos="360"/>
        </w:tabs>
        <w:ind w:left="360" w:hanging="360"/>
      </w:pPr>
      <w:rPr>
        <w:rFonts w:ascii="Times New Roman" w:hAnsi="Times New Roman" w:hint="default"/>
      </w:rPr>
    </w:lvl>
    <w:lvl w:ilvl="1" w:tplc="0466F48C" w:tentative="1">
      <w:start w:val="1"/>
      <w:numFmt w:val="bullet"/>
      <w:lvlText w:val="-"/>
      <w:lvlJc w:val="left"/>
      <w:pPr>
        <w:tabs>
          <w:tab w:val="num" w:pos="1080"/>
        </w:tabs>
        <w:ind w:left="1080" w:hanging="360"/>
      </w:pPr>
      <w:rPr>
        <w:rFonts w:ascii="Times New Roman" w:hAnsi="Times New Roman" w:hint="default"/>
      </w:rPr>
    </w:lvl>
    <w:lvl w:ilvl="2" w:tplc="4D180F6A" w:tentative="1">
      <w:start w:val="1"/>
      <w:numFmt w:val="bullet"/>
      <w:lvlText w:val="-"/>
      <w:lvlJc w:val="left"/>
      <w:pPr>
        <w:tabs>
          <w:tab w:val="num" w:pos="1800"/>
        </w:tabs>
        <w:ind w:left="1800" w:hanging="360"/>
      </w:pPr>
      <w:rPr>
        <w:rFonts w:ascii="Times New Roman" w:hAnsi="Times New Roman" w:hint="default"/>
      </w:rPr>
    </w:lvl>
    <w:lvl w:ilvl="3" w:tplc="A57E7CAC" w:tentative="1">
      <w:start w:val="1"/>
      <w:numFmt w:val="bullet"/>
      <w:lvlText w:val="-"/>
      <w:lvlJc w:val="left"/>
      <w:pPr>
        <w:tabs>
          <w:tab w:val="num" w:pos="2520"/>
        </w:tabs>
        <w:ind w:left="2520" w:hanging="360"/>
      </w:pPr>
      <w:rPr>
        <w:rFonts w:ascii="Times New Roman" w:hAnsi="Times New Roman" w:hint="default"/>
      </w:rPr>
    </w:lvl>
    <w:lvl w:ilvl="4" w:tplc="4E6E3540" w:tentative="1">
      <w:start w:val="1"/>
      <w:numFmt w:val="bullet"/>
      <w:lvlText w:val="-"/>
      <w:lvlJc w:val="left"/>
      <w:pPr>
        <w:tabs>
          <w:tab w:val="num" w:pos="3240"/>
        </w:tabs>
        <w:ind w:left="3240" w:hanging="360"/>
      </w:pPr>
      <w:rPr>
        <w:rFonts w:ascii="Times New Roman" w:hAnsi="Times New Roman" w:hint="default"/>
      </w:rPr>
    </w:lvl>
    <w:lvl w:ilvl="5" w:tplc="60AE57A4" w:tentative="1">
      <w:start w:val="1"/>
      <w:numFmt w:val="bullet"/>
      <w:lvlText w:val="-"/>
      <w:lvlJc w:val="left"/>
      <w:pPr>
        <w:tabs>
          <w:tab w:val="num" w:pos="3960"/>
        </w:tabs>
        <w:ind w:left="3960" w:hanging="360"/>
      </w:pPr>
      <w:rPr>
        <w:rFonts w:ascii="Times New Roman" w:hAnsi="Times New Roman" w:hint="default"/>
      </w:rPr>
    </w:lvl>
    <w:lvl w:ilvl="6" w:tplc="971462FA" w:tentative="1">
      <w:start w:val="1"/>
      <w:numFmt w:val="bullet"/>
      <w:lvlText w:val="-"/>
      <w:lvlJc w:val="left"/>
      <w:pPr>
        <w:tabs>
          <w:tab w:val="num" w:pos="4680"/>
        </w:tabs>
        <w:ind w:left="4680" w:hanging="360"/>
      </w:pPr>
      <w:rPr>
        <w:rFonts w:ascii="Times New Roman" w:hAnsi="Times New Roman" w:hint="default"/>
      </w:rPr>
    </w:lvl>
    <w:lvl w:ilvl="7" w:tplc="7F347DEC" w:tentative="1">
      <w:start w:val="1"/>
      <w:numFmt w:val="bullet"/>
      <w:lvlText w:val="-"/>
      <w:lvlJc w:val="left"/>
      <w:pPr>
        <w:tabs>
          <w:tab w:val="num" w:pos="5400"/>
        </w:tabs>
        <w:ind w:left="5400" w:hanging="360"/>
      </w:pPr>
      <w:rPr>
        <w:rFonts w:ascii="Times New Roman" w:hAnsi="Times New Roman" w:hint="default"/>
      </w:rPr>
    </w:lvl>
    <w:lvl w:ilvl="8" w:tplc="2E48F50A" w:tentative="1">
      <w:start w:val="1"/>
      <w:numFmt w:val="bullet"/>
      <w:lvlText w:val="-"/>
      <w:lvlJc w:val="left"/>
      <w:pPr>
        <w:tabs>
          <w:tab w:val="num" w:pos="6120"/>
        </w:tabs>
        <w:ind w:left="6120" w:hanging="360"/>
      </w:pPr>
      <w:rPr>
        <w:rFonts w:ascii="Times New Roman" w:hAnsi="Times New Roman" w:hint="default"/>
      </w:rPr>
    </w:lvl>
  </w:abstractNum>
  <w:abstractNum w:abstractNumId="43" w15:restartNumberingAfterBreak="0">
    <w:nsid w:val="78AE7494"/>
    <w:multiLevelType w:val="hybridMultilevel"/>
    <w:tmpl w:val="2CCCD6B4"/>
    <w:lvl w:ilvl="0" w:tplc="5ECC1EC6">
      <w:start w:val="1"/>
      <w:numFmt w:val="bullet"/>
      <w:lvlText w:val="-"/>
      <w:lvlJc w:val="left"/>
      <w:pPr>
        <w:tabs>
          <w:tab w:val="num" w:pos="360"/>
        </w:tabs>
        <w:ind w:left="360" w:hanging="360"/>
      </w:pPr>
      <w:rPr>
        <w:rFonts w:ascii="Times New Roman" w:hAnsi="Times New Roman" w:hint="default"/>
      </w:rPr>
    </w:lvl>
    <w:lvl w:ilvl="1" w:tplc="1780E8E4" w:tentative="1">
      <w:start w:val="1"/>
      <w:numFmt w:val="bullet"/>
      <w:lvlText w:val="-"/>
      <w:lvlJc w:val="left"/>
      <w:pPr>
        <w:tabs>
          <w:tab w:val="num" w:pos="1080"/>
        </w:tabs>
        <w:ind w:left="1080" w:hanging="360"/>
      </w:pPr>
      <w:rPr>
        <w:rFonts w:ascii="Times New Roman" w:hAnsi="Times New Roman" w:hint="default"/>
      </w:rPr>
    </w:lvl>
    <w:lvl w:ilvl="2" w:tplc="F476EB0A" w:tentative="1">
      <w:start w:val="1"/>
      <w:numFmt w:val="bullet"/>
      <w:lvlText w:val="-"/>
      <w:lvlJc w:val="left"/>
      <w:pPr>
        <w:tabs>
          <w:tab w:val="num" w:pos="1800"/>
        </w:tabs>
        <w:ind w:left="1800" w:hanging="360"/>
      </w:pPr>
      <w:rPr>
        <w:rFonts w:ascii="Times New Roman" w:hAnsi="Times New Roman" w:hint="default"/>
      </w:rPr>
    </w:lvl>
    <w:lvl w:ilvl="3" w:tplc="7CFC46C2" w:tentative="1">
      <w:start w:val="1"/>
      <w:numFmt w:val="bullet"/>
      <w:lvlText w:val="-"/>
      <w:lvlJc w:val="left"/>
      <w:pPr>
        <w:tabs>
          <w:tab w:val="num" w:pos="2520"/>
        </w:tabs>
        <w:ind w:left="2520" w:hanging="360"/>
      </w:pPr>
      <w:rPr>
        <w:rFonts w:ascii="Times New Roman" w:hAnsi="Times New Roman" w:hint="default"/>
      </w:rPr>
    </w:lvl>
    <w:lvl w:ilvl="4" w:tplc="00C26EDE" w:tentative="1">
      <w:start w:val="1"/>
      <w:numFmt w:val="bullet"/>
      <w:lvlText w:val="-"/>
      <w:lvlJc w:val="left"/>
      <w:pPr>
        <w:tabs>
          <w:tab w:val="num" w:pos="3240"/>
        </w:tabs>
        <w:ind w:left="3240" w:hanging="360"/>
      </w:pPr>
      <w:rPr>
        <w:rFonts w:ascii="Times New Roman" w:hAnsi="Times New Roman" w:hint="default"/>
      </w:rPr>
    </w:lvl>
    <w:lvl w:ilvl="5" w:tplc="C15ED832" w:tentative="1">
      <w:start w:val="1"/>
      <w:numFmt w:val="bullet"/>
      <w:lvlText w:val="-"/>
      <w:lvlJc w:val="left"/>
      <w:pPr>
        <w:tabs>
          <w:tab w:val="num" w:pos="3960"/>
        </w:tabs>
        <w:ind w:left="3960" w:hanging="360"/>
      </w:pPr>
      <w:rPr>
        <w:rFonts w:ascii="Times New Roman" w:hAnsi="Times New Roman" w:hint="default"/>
      </w:rPr>
    </w:lvl>
    <w:lvl w:ilvl="6" w:tplc="792E37F2" w:tentative="1">
      <w:start w:val="1"/>
      <w:numFmt w:val="bullet"/>
      <w:lvlText w:val="-"/>
      <w:lvlJc w:val="left"/>
      <w:pPr>
        <w:tabs>
          <w:tab w:val="num" w:pos="4680"/>
        </w:tabs>
        <w:ind w:left="4680" w:hanging="360"/>
      </w:pPr>
      <w:rPr>
        <w:rFonts w:ascii="Times New Roman" w:hAnsi="Times New Roman" w:hint="default"/>
      </w:rPr>
    </w:lvl>
    <w:lvl w:ilvl="7" w:tplc="949831AC" w:tentative="1">
      <w:start w:val="1"/>
      <w:numFmt w:val="bullet"/>
      <w:lvlText w:val="-"/>
      <w:lvlJc w:val="left"/>
      <w:pPr>
        <w:tabs>
          <w:tab w:val="num" w:pos="5400"/>
        </w:tabs>
        <w:ind w:left="5400" w:hanging="360"/>
      </w:pPr>
      <w:rPr>
        <w:rFonts w:ascii="Times New Roman" w:hAnsi="Times New Roman" w:hint="default"/>
      </w:rPr>
    </w:lvl>
    <w:lvl w:ilvl="8" w:tplc="DBCA7702" w:tentative="1">
      <w:start w:val="1"/>
      <w:numFmt w:val="bullet"/>
      <w:lvlText w:val="-"/>
      <w:lvlJc w:val="left"/>
      <w:pPr>
        <w:tabs>
          <w:tab w:val="num" w:pos="6120"/>
        </w:tabs>
        <w:ind w:left="6120" w:hanging="360"/>
      </w:pPr>
      <w:rPr>
        <w:rFonts w:ascii="Times New Roman" w:hAnsi="Times New Roman" w:hint="default"/>
      </w:rPr>
    </w:lvl>
  </w:abstractNum>
  <w:num w:numId="1">
    <w:abstractNumId w:val="39"/>
  </w:num>
  <w:num w:numId="2">
    <w:abstractNumId w:val="14"/>
  </w:num>
  <w:num w:numId="3">
    <w:abstractNumId w:val="19"/>
  </w:num>
  <w:num w:numId="4">
    <w:abstractNumId w:val="8"/>
  </w:num>
  <w:num w:numId="5">
    <w:abstractNumId w:val="25"/>
  </w:num>
  <w:num w:numId="6">
    <w:abstractNumId w:val="36"/>
  </w:num>
  <w:num w:numId="7">
    <w:abstractNumId w:val="23"/>
  </w:num>
  <w:num w:numId="8">
    <w:abstractNumId w:val="43"/>
  </w:num>
  <w:num w:numId="9">
    <w:abstractNumId w:val="11"/>
  </w:num>
  <w:num w:numId="10">
    <w:abstractNumId w:val="27"/>
  </w:num>
  <w:num w:numId="11">
    <w:abstractNumId w:val="30"/>
  </w:num>
  <w:num w:numId="12">
    <w:abstractNumId w:val="24"/>
  </w:num>
  <w:num w:numId="13">
    <w:abstractNumId w:val="22"/>
  </w:num>
  <w:num w:numId="14">
    <w:abstractNumId w:val="20"/>
  </w:num>
  <w:num w:numId="15">
    <w:abstractNumId w:val="16"/>
  </w:num>
  <w:num w:numId="16">
    <w:abstractNumId w:val="37"/>
  </w:num>
  <w:num w:numId="17">
    <w:abstractNumId w:val="9"/>
  </w:num>
  <w:num w:numId="18">
    <w:abstractNumId w:val="4"/>
  </w:num>
  <w:num w:numId="19">
    <w:abstractNumId w:val="34"/>
  </w:num>
  <w:num w:numId="20">
    <w:abstractNumId w:val="0"/>
  </w:num>
  <w:num w:numId="21">
    <w:abstractNumId w:val="33"/>
  </w:num>
  <w:num w:numId="22">
    <w:abstractNumId w:val="32"/>
  </w:num>
  <w:num w:numId="23">
    <w:abstractNumId w:val="15"/>
  </w:num>
  <w:num w:numId="24">
    <w:abstractNumId w:val="3"/>
  </w:num>
  <w:num w:numId="25">
    <w:abstractNumId w:val="7"/>
  </w:num>
  <w:num w:numId="26">
    <w:abstractNumId w:val="41"/>
  </w:num>
  <w:num w:numId="27">
    <w:abstractNumId w:val="21"/>
  </w:num>
  <w:num w:numId="28">
    <w:abstractNumId w:val="2"/>
  </w:num>
  <w:num w:numId="29">
    <w:abstractNumId w:val="17"/>
  </w:num>
  <w:num w:numId="30">
    <w:abstractNumId w:val="5"/>
  </w:num>
  <w:num w:numId="31">
    <w:abstractNumId w:val="31"/>
  </w:num>
  <w:num w:numId="32">
    <w:abstractNumId w:val="26"/>
  </w:num>
  <w:num w:numId="33">
    <w:abstractNumId w:val="12"/>
  </w:num>
  <w:num w:numId="34">
    <w:abstractNumId w:val="28"/>
  </w:num>
  <w:num w:numId="35">
    <w:abstractNumId w:val="42"/>
  </w:num>
  <w:num w:numId="36">
    <w:abstractNumId w:val="6"/>
  </w:num>
  <w:num w:numId="37">
    <w:abstractNumId w:val="38"/>
  </w:num>
  <w:num w:numId="38">
    <w:abstractNumId w:val="35"/>
  </w:num>
  <w:num w:numId="39">
    <w:abstractNumId w:val="10"/>
  </w:num>
  <w:num w:numId="40">
    <w:abstractNumId w:val="40"/>
  </w:num>
  <w:num w:numId="41">
    <w:abstractNumId w:val="18"/>
  </w:num>
  <w:num w:numId="42">
    <w:abstractNumId w:val="13"/>
  </w:num>
  <w:num w:numId="43">
    <w:abstractNumId w:val="1"/>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FFC"/>
    <w:rsid w:val="00002979"/>
    <w:rsid w:val="000304FF"/>
    <w:rsid w:val="000439B5"/>
    <w:rsid w:val="00066A0F"/>
    <w:rsid w:val="00077130"/>
    <w:rsid w:val="00080C4F"/>
    <w:rsid w:val="0009541E"/>
    <w:rsid w:val="00097A62"/>
    <w:rsid w:val="000A05C4"/>
    <w:rsid w:val="000C774F"/>
    <w:rsid w:val="000E5866"/>
    <w:rsid w:val="0010416A"/>
    <w:rsid w:val="001153AC"/>
    <w:rsid w:val="00124FFC"/>
    <w:rsid w:val="001313BA"/>
    <w:rsid w:val="00134D67"/>
    <w:rsid w:val="001612EF"/>
    <w:rsid w:val="001664C0"/>
    <w:rsid w:val="00186384"/>
    <w:rsid w:val="00190916"/>
    <w:rsid w:val="00194F4C"/>
    <w:rsid w:val="00195C92"/>
    <w:rsid w:val="001B340D"/>
    <w:rsid w:val="001C62D0"/>
    <w:rsid w:val="001D1E20"/>
    <w:rsid w:val="001E2020"/>
    <w:rsid w:val="001F4804"/>
    <w:rsid w:val="001F7A20"/>
    <w:rsid w:val="00205743"/>
    <w:rsid w:val="00232889"/>
    <w:rsid w:val="00237F56"/>
    <w:rsid w:val="00243D86"/>
    <w:rsid w:val="00257228"/>
    <w:rsid w:val="0026216E"/>
    <w:rsid w:val="00270FD8"/>
    <w:rsid w:val="00281504"/>
    <w:rsid w:val="002C0036"/>
    <w:rsid w:val="002C41DA"/>
    <w:rsid w:val="002D27BD"/>
    <w:rsid w:val="002F6BBF"/>
    <w:rsid w:val="00324C5A"/>
    <w:rsid w:val="003313CB"/>
    <w:rsid w:val="00343E24"/>
    <w:rsid w:val="00352621"/>
    <w:rsid w:val="0036176B"/>
    <w:rsid w:val="0038250E"/>
    <w:rsid w:val="00385BA4"/>
    <w:rsid w:val="00394346"/>
    <w:rsid w:val="003E759A"/>
    <w:rsid w:val="00400805"/>
    <w:rsid w:val="004200C6"/>
    <w:rsid w:val="00420BF1"/>
    <w:rsid w:val="00420DA7"/>
    <w:rsid w:val="004256EB"/>
    <w:rsid w:val="00427610"/>
    <w:rsid w:val="00427EF0"/>
    <w:rsid w:val="00432A8B"/>
    <w:rsid w:val="004345CA"/>
    <w:rsid w:val="004377C3"/>
    <w:rsid w:val="00491CD8"/>
    <w:rsid w:val="004923F3"/>
    <w:rsid w:val="004B2794"/>
    <w:rsid w:val="004D2F0D"/>
    <w:rsid w:val="004E5108"/>
    <w:rsid w:val="005406D2"/>
    <w:rsid w:val="0054181B"/>
    <w:rsid w:val="00555475"/>
    <w:rsid w:val="00565B69"/>
    <w:rsid w:val="00566ABA"/>
    <w:rsid w:val="00574E4C"/>
    <w:rsid w:val="005C0214"/>
    <w:rsid w:val="005C0673"/>
    <w:rsid w:val="005C0B34"/>
    <w:rsid w:val="005C7251"/>
    <w:rsid w:val="005F6BCB"/>
    <w:rsid w:val="005F71D7"/>
    <w:rsid w:val="00602FC1"/>
    <w:rsid w:val="00613091"/>
    <w:rsid w:val="00615BF3"/>
    <w:rsid w:val="006172ED"/>
    <w:rsid w:val="00644D5C"/>
    <w:rsid w:val="006653AE"/>
    <w:rsid w:val="00674C4B"/>
    <w:rsid w:val="006A7C59"/>
    <w:rsid w:val="006C1C46"/>
    <w:rsid w:val="006D47E4"/>
    <w:rsid w:val="006E5669"/>
    <w:rsid w:val="006F6D87"/>
    <w:rsid w:val="00702B64"/>
    <w:rsid w:val="007541BA"/>
    <w:rsid w:val="00756355"/>
    <w:rsid w:val="00756651"/>
    <w:rsid w:val="00757A0B"/>
    <w:rsid w:val="007616BA"/>
    <w:rsid w:val="00763CD5"/>
    <w:rsid w:val="00766C6B"/>
    <w:rsid w:val="007814C5"/>
    <w:rsid w:val="007816AC"/>
    <w:rsid w:val="007977CD"/>
    <w:rsid w:val="007A639B"/>
    <w:rsid w:val="007D3A8A"/>
    <w:rsid w:val="007D441A"/>
    <w:rsid w:val="007E52E7"/>
    <w:rsid w:val="007F0C70"/>
    <w:rsid w:val="00823D1D"/>
    <w:rsid w:val="008261B0"/>
    <w:rsid w:val="00826307"/>
    <w:rsid w:val="00831B14"/>
    <w:rsid w:val="00832AE6"/>
    <w:rsid w:val="008556A0"/>
    <w:rsid w:val="00857F4F"/>
    <w:rsid w:val="00862A3E"/>
    <w:rsid w:val="00866D37"/>
    <w:rsid w:val="00877D32"/>
    <w:rsid w:val="00884986"/>
    <w:rsid w:val="008A3DF5"/>
    <w:rsid w:val="008A5D11"/>
    <w:rsid w:val="008B5A7E"/>
    <w:rsid w:val="008C2D01"/>
    <w:rsid w:val="008C52B8"/>
    <w:rsid w:val="008F5912"/>
    <w:rsid w:val="009013BE"/>
    <w:rsid w:val="00920C75"/>
    <w:rsid w:val="009335A7"/>
    <w:rsid w:val="00936B6D"/>
    <w:rsid w:val="00946526"/>
    <w:rsid w:val="00946C62"/>
    <w:rsid w:val="00950FD3"/>
    <w:rsid w:val="0096253F"/>
    <w:rsid w:val="00971C05"/>
    <w:rsid w:val="009A02F1"/>
    <w:rsid w:val="009A0982"/>
    <w:rsid w:val="009B5AF2"/>
    <w:rsid w:val="009E4BF7"/>
    <w:rsid w:val="00A02BEF"/>
    <w:rsid w:val="00A07591"/>
    <w:rsid w:val="00A26C33"/>
    <w:rsid w:val="00A577A9"/>
    <w:rsid w:val="00A91CE1"/>
    <w:rsid w:val="00A92BF5"/>
    <w:rsid w:val="00A97661"/>
    <w:rsid w:val="00AA0607"/>
    <w:rsid w:val="00AA2430"/>
    <w:rsid w:val="00AA60D4"/>
    <w:rsid w:val="00AA6719"/>
    <w:rsid w:val="00AF05B4"/>
    <w:rsid w:val="00AF206C"/>
    <w:rsid w:val="00B23779"/>
    <w:rsid w:val="00B2471A"/>
    <w:rsid w:val="00B41EB2"/>
    <w:rsid w:val="00B55454"/>
    <w:rsid w:val="00B55EC5"/>
    <w:rsid w:val="00B667E5"/>
    <w:rsid w:val="00B714A0"/>
    <w:rsid w:val="00B837F9"/>
    <w:rsid w:val="00BA41E1"/>
    <w:rsid w:val="00BB28FF"/>
    <w:rsid w:val="00BB7902"/>
    <w:rsid w:val="00BD1B49"/>
    <w:rsid w:val="00BF01C4"/>
    <w:rsid w:val="00BF772E"/>
    <w:rsid w:val="00C01301"/>
    <w:rsid w:val="00C027C5"/>
    <w:rsid w:val="00C55D11"/>
    <w:rsid w:val="00C563B4"/>
    <w:rsid w:val="00C63560"/>
    <w:rsid w:val="00C87CEE"/>
    <w:rsid w:val="00C961AD"/>
    <w:rsid w:val="00CA26E8"/>
    <w:rsid w:val="00CA377F"/>
    <w:rsid w:val="00CE0A84"/>
    <w:rsid w:val="00CF504E"/>
    <w:rsid w:val="00D00DE7"/>
    <w:rsid w:val="00D054D0"/>
    <w:rsid w:val="00D30939"/>
    <w:rsid w:val="00D335D0"/>
    <w:rsid w:val="00D47AC8"/>
    <w:rsid w:val="00D52693"/>
    <w:rsid w:val="00D63063"/>
    <w:rsid w:val="00D63274"/>
    <w:rsid w:val="00D6637A"/>
    <w:rsid w:val="00D708B7"/>
    <w:rsid w:val="00D730FB"/>
    <w:rsid w:val="00DB660F"/>
    <w:rsid w:val="00DD3A5D"/>
    <w:rsid w:val="00DF4BFE"/>
    <w:rsid w:val="00E02239"/>
    <w:rsid w:val="00E06193"/>
    <w:rsid w:val="00E14A5D"/>
    <w:rsid w:val="00E279CB"/>
    <w:rsid w:val="00E33230"/>
    <w:rsid w:val="00E463B1"/>
    <w:rsid w:val="00E518FC"/>
    <w:rsid w:val="00E74E5C"/>
    <w:rsid w:val="00E77814"/>
    <w:rsid w:val="00EA25E7"/>
    <w:rsid w:val="00EA47BB"/>
    <w:rsid w:val="00EA5DD4"/>
    <w:rsid w:val="00EB0FAE"/>
    <w:rsid w:val="00ED4B1F"/>
    <w:rsid w:val="00EE1E7A"/>
    <w:rsid w:val="00EE5317"/>
    <w:rsid w:val="00EF0B62"/>
    <w:rsid w:val="00F075FB"/>
    <w:rsid w:val="00F54A6E"/>
    <w:rsid w:val="00F57A1F"/>
    <w:rsid w:val="00F67F5E"/>
    <w:rsid w:val="00F72D38"/>
    <w:rsid w:val="00F777F6"/>
    <w:rsid w:val="00F77AA3"/>
    <w:rsid w:val="00F8056B"/>
    <w:rsid w:val="00F82842"/>
    <w:rsid w:val="00FA0E43"/>
    <w:rsid w:val="00FA2857"/>
    <w:rsid w:val="00FB2988"/>
    <w:rsid w:val="00FC198A"/>
    <w:rsid w:val="00FC293C"/>
    <w:rsid w:val="00FC32FE"/>
    <w:rsid w:val="00FC3FFB"/>
    <w:rsid w:val="00FD2E08"/>
    <w:rsid w:val="00FE42D7"/>
    <w:rsid w:val="00FE6519"/>
    <w:rsid w:val="00FF53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68C5D"/>
  <w15:chartTrackingRefBased/>
  <w15:docId w15:val="{7D40A3E9-9D40-4502-B1A8-1E26B5854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0C75"/>
    <w:pPr>
      <w:keepNext/>
      <w:keepLines/>
      <w:numPr>
        <w:numId w:val="21"/>
      </w:numPr>
      <w:spacing w:before="120" w:after="120"/>
      <w:outlineLvl w:val="0"/>
    </w:pPr>
    <w:rPr>
      <w:rFonts w:eastAsiaTheme="majorEastAsia" w:cstheme="majorBidi"/>
      <w:b/>
      <w:color w:val="91C93D"/>
      <w:sz w:val="28"/>
      <w:szCs w:val="32"/>
    </w:rPr>
  </w:style>
  <w:style w:type="paragraph" w:styleId="Heading2">
    <w:name w:val="heading 2"/>
    <w:basedOn w:val="Normal"/>
    <w:next w:val="Normal"/>
    <w:link w:val="Heading2Char"/>
    <w:uiPriority w:val="9"/>
    <w:unhideWhenUsed/>
    <w:qFormat/>
    <w:rsid w:val="00920C75"/>
    <w:pPr>
      <w:keepNext/>
      <w:keepLines/>
      <w:numPr>
        <w:ilvl w:val="1"/>
        <w:numId w:val="21"/>
      </w:numPr>
      <w:spacing w:after="120"/>
      <w:outlineLvl w:val="1"/>
    </w:pPr>
    <w:rPr>
      <w:rFonts w:eastAsiaTheme="majorEastAsia" w:cstheme="majorBidi"/>
      <w:b/>
      <w:color w:val="91C93D"/>
      <w:sz w:val="24"/>
      <w:szCs w:val="26"/>
    </w:rPr>
  </w:style>
  <w:style w:type="paragraph" w:styleId="Heading3">
    <w:name w:val="heading 3"/>
    <w:basedOn w:val="Normal"/>
    <w:next w:val="Normal"/>
    <w:link w:val="Heading3Char"/>
    <w:uiPriority w:val="9"/>
    <w:semiHidden/>
    <w:unhideWhenUsed/>
    <w:qFormat/>
    <w:rsid w:val="00EE5317"/>
    <w:pPr>
      <w:keepNext/>
      <w:keepLines/>
      <w:numPr>
        <w:ilvl w:val="2"/>
        <w:numId w:val="2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E5317"/>
    <w:pPr>
      <w:keepNext/>
      <w:keepLines/>
      <w:numPr>
        <w:ilvl w:val="3"/>
        <w:numId w:val="2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E5317"/>
    <w:pPr>
      <w:keepNext/>
      <w:keepLines/>
      <w:numPr>
        <w:ilvl w:val="4"/>
        <w:numId w:val="2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E5317"/>
    <w:pPr>
      <w:keepNext/>
      <w:keepLines/>
      <w:numPr>
        <w:ilvl w:val="5"/>
        <w:numId w:val="2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E5317"/>
    <w:pPr>
      <w:keepNext/>
      <w:keepLines/>
      <w:numPr>
        <w:ilvl w:val="6"/>
        <w:numId w:val="2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E5317"/>
    <w:pPr>
      <w:keepNext/>
      <w:keepLines/>
      <w:numPr>
        <w:ilvl w:val="7"/>
        <w:numId w:val="2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E5317"/>
    <w:pPr>
      <w:keepNext/>
      <w:keepLines/>
      <w:numPr>
        <w:ilvl w:val="8"/>
        <w:numId w:val="2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2020"/>
    <w:pPr>
      <w:ind w:left="720"/>
      <w:contextualSpacing/>
    </w:pPr>
  </w:style>
  <w:style w:type="paragraph" w:styleId="BalloonText">
    <w:name w:val="Balloon Text"/>
    <w:basedOn w:val="Normal"/>
    <w:link w:val="BalloonTextChar"/>
    <w:uiPriority w:val="99"/>
    <w:semiHidden/>
    <w:unhideWhenUsed/>
    <w:rsid w:val="001F48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804"/>
    <w:rPr>
      <w:rFonts w:ascii="Segoe UI" w:hAnsi="Segoe UI" w:cs="Segoe UI"/>
      <w:sz w:val="18"/>
      <w:szCs w:val="18"/>
    </w:rPr>
  </w:style>
  <w:style w:type="table" w:styleId="TableGrid">
    <w:name w:val="Table Grid"/>
    <w:basedOn w:val="TableNormal"/>
    <w:uiPriority w:val="39"/>
    <w:rsid w:val="008B5A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617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20C75"/>
    <w:rPr>
      <w:rFonts w:eastAsiaTheme="majorEastAsia" w:cstheme="majorBidi"/>
      <w:b/>
      <w:color w:val="91C93D"/>
      <w:sz w:val="28"/>
      <w:szCs w:val="32"/>
    </w:rPr>
  </w:style>
  <w:style w:type="character" w:customStyle="1" w:styleId="Heading2Char">
    <w:name w:val="Heading 2 Char"/>
    <w:basedOn w:val="DefaultParagraphFont"/>
    <w:link w:val="Heading2"/>
    <w:uiPriority w:val="9"/>
    <w:rsid w:val="00920C75"/>
    <w:rPr>
      <w:rFonts w:eastAsiaTheme="majorEastAsia" w:cstheme="majorBidi"/>
      <w:b/>
      <w:color w:val="91C93D"/>
      <w:sz w:val="24"/>
      <w:szCs w:val="26"/>
    </w:rPr>
  </w:style>
  <w:style w:type="character" w:customStyle="1" w:styleId="Heading3Char">
    <w:name w:val="Heading 3 Char"/>
    <w:basedOn w:val="DefaultParagraphFont"/>
    <w:link w:val="Heading3"/>
    <w:uiPriority w:val="9"/>
    <w:semiHidden/>
    <w:rsid w:val="00EE531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EE531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E531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E531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E531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E531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E5317"/>
    <w:rPr>
      <w:rFonts w:asciiTheme="majorHAnsi" w:eastAsiaTheme="majorEastAsia" w:hAnsiTheme="majorHAnsi" w:cstheme="majorBidi"/>
      <w:i/>
      <w:iCs/>
      <w:color w:val="272727" w:themeColor="text1" w:themeTint="D8"/>
      <w:sz w:val="21"/>
      <w:szCs w:val="21"/>
    </w:rPr>
  </w:style>
  <w:style w:type="paragraph" w:styleId="CommentText">
    <w:name w:val="annotation text"/>
    <w:basedOn w:val="Normal"/>
    <w:link w:val="CommentTextChar"/>
    <w:uiPriority w:val="99"/>
    <w:unhideWhenUsed/>
    <w:rsid w:val="008A5D11"/>
    <w:pPr>
      <w:spacing w:line="240" w:lineRule="auto"/>
    </w:pPr>
    <w:rPr>
      <w:sz w:val="20"/>
      <w:szCs w:val="20"/>
    </w:rPr>
  </w:style>
  <w:style w:type="character" w:customStyle="1" w:styleId="CommentTextChar">
    <w:name w:val="Comment Text Char"/>
    <w:basedOn w:val="DefaultParagraphFont"/>
    <w:link w:val="CommentText"/>
    <w:uiPriority w:val="99"/>
    <w:rsid w:val="008A5D11"/>
    <w:rPr>
      <w:sz w:val="20"/>
      <w:szCs w:val="20"/>
    </w:rPr>
  </w:style>
  <w:style w:type="character" w:styleId="CommentReference">
    <w:name w:val="annotation reference"/>
    <w:basedOn w:val="DefaultParagraphFont"/>
    <w:uiPriority w:val="99"/>
    <w:semiHidden/>
    <w:unhideWhenUsed/>
    <w:rsid w:val="008A5D11"/>
    <w:rPr>
      <w:sz w:val="16"/>
      <w:szCs w:val="16"/>
    </w:rPr>
  </w:style>
  <w:style w:type="character" w:styleId="Hyperlink">
    <w:name w:val="Hyperlink"/>
    <w:basedOn w:val="DefaultParagraphFont"/>
    <w:uiPriority w:val="99"/>
    <w:unhideWhenUsed/>
    <w:rsid w:val="008A5D11"/>
    <w:rPr>
      <w:color w:val="0563C1" w:themeColor="hyperlink"/>
      <w:u w:val="single"/>
    </w:rPr>
  </w:style>
  <w:style w:type="paragraph" w:styleId="TOCHeading">
    <w:name w:val="TOC Heading"/>
    <w:basedOn w:val="Heading1"/>
    <w:next w:val="Normal"/>
    <w:uiPriority w:val="39"/>
    <w:unhideWhenUsed/>
    <w:qFormat/>
    <w:rsid w:val="000304FF"/>
    <w:pPr>
      <w:numPr>
        <w:numId w:val="0"/>
      </w:numPr>
      <w:spacing w:before="240" w:after="0"/>
      <w:outlineLvl w:val="9"/>
    </w:pPr>
    <w:rPr>
      <w:rFonts w:asciiTheme="majorHAnsi" w:hAnsiTheme="majorHAnsi"/>
      <w:sz w:val="32"/>
    </w:rPr>
  </w:style>
  <w:style w:type="paragraph" w:styleId="TOC1">
    <w:name w:val="toc 1"/>
    <w:basedOn w:val="Normal"/>
    <w:next w:val="Normal"/>
    <w:autoRedefine/>
    <w:uiPriority w:val="39"/>
    <w:unhideWhenUsed/>
    <w:rsid w:val="000304FF"/>
    <w:pPr>
      <w:spacing w:after="100"/>
    </w:pPr>
  </w:style>
  <w:style w:type="paragraph" w:styleId="TOC2">
    <w:name w:val="toc 2"/>
    <w:basedOn w:val="Normal"/>
    <w:next w:val="Normal"/>
    <w:autoRedefine/>
    <w:uiPriority w:val="39"/>
    <w:unhideWhenUsed/>
    <w:rsid w:val="000304FF"/>
    <w:pPr>
      <w:spacing w:after="100"/>
      <w:ind w:left="220"/>
    </w:pPr>
  </w:style>
  <w:style w:type="paragraph" w:styleId="FootnoteText">
    <w:name w:val="footnote text"/>
    <w:basedOn w:val="Normal"/>
    <w:link w:val="FootnoteTextChar"/>
    <w:uiPriority w:val="99"/>
    <w:semiHidden/>
    <w:unhideWhenUsed/>
    <w:rsid w:val="005F6BC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F6BCB"/>
    <w:rPr>
      <w:sz w:val="20"/>
      <w:szCs w:val="20"/>
    </w:rPr>
  </w:style>
  <w:style w:type="character" w:styleId="FootnoteReference">
    <w:name w:val="footnote reference"/>
    <w:basedOn w:val="DefaultParagraphFont"/>
    <w:uiPriority w:val="99"/>
    <w:semiHidden/>
    <w:unhideWhenUsed/>
    <w:rsid w:val="005F6BCB"/>
    <w:rPr>
      <w:vertAlign w:val="superscript"/>
    </w:rPr>
  </w:style>
  <w:style w:type="paragraph" w:styleId="Header">
    <w:name w:val="header"/>
    <w:basedOn w:val="Normal"/>
    <w:link w:val="HeaderChar"/>
    <w:uiPriority w:val="99"/>
    <w:unhideWhenUsed/>
    <w:rsid w:val="00566A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6ABA"/>
  </w:style>
  <w:style w:type="paragraph" w:styleId="Footer">
    <w:name w:val="footer"/>
    <w:basedOn w:val="Normal"/>
    <w:link w:val="FooterChar"/>
    <w:uiPriority w:val="99"/>
    <w:unhideWhenUsed/>
    <w:rsid w:val="00566A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6ABA"/>
  </w:style>
  <w:style w:type="paragraph" w:styleId="CommentSubject">
    <w:name w:val="annotation subject"/>
    <w:basedOn w:val="CommentText"/>
    <w:next w:val="CommentText"/>
    <w:link w:val="CommentSubjectChar"/>
    <w:uiPriority w:val="99"/>
    <w:semiHidden/>
    <w:unhideWhenUsed/>
    <w:rsid w:val="00281504"/>
    <w:rPr>
      <w:b/>
      <w:bCs/>
    </w:rPr>
  </w:style>
  <w:style w:type="character" w:customStyle="1" w:styleId="CommentSubjectChar">
    <w:name w:val="Comment Subject Char"/>
    <w:basedOn w:val="CommentTextChar"/>
    <w:link w:val="CommentSubject"/>
    <w:uiPriority w:val="99"/>
    <w:semiHidden/>
    <w:rsid w:val="00281504"/>
    <w:rPr>
      <w:b/>
      <w:bCs/>
      <w:sz w:val="20"/>
      <w:szCs w:val="20"/>
    </w:rPr>
  </w:style>
  <w:style w:type="character" w:styleId="UnresolvedMention">
    <w:name w:val="Unresolved Mention"/>
    <w:basedOn w:val="DefaultParagraphFont"/>
    <w:uiPriority w:val="99"/>
    <w:semiHidden/>
    <w:unhideWhenUsed/>
    <w:rsid w:val="0038250E"/>
    <w:rPr>
      <w:color w:val="605E5C"/>
      <w:shd w:val="clear" w:color="auto" w:fill="E1DFDD"/>
    </w:rPr>
  </w:style>
  <w:style w:type="character" w:styleId="FollowedHyperlink">
    <w:name w:val="FollowedHyperlink"/>
    <w:basedOn w:val="DefaultParagraphFont"/>
    <w:uiPriority w:val="99"/>
    <w:semiHidden/>
    <w:unhideWhenUsed/>
    <w:rsid w:val="0038250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6292706">
      <w:bodyDiv w:val="1"/>
      <w:marLeft w:val="0"/>
      <w:marRight w:val="0"/>
      <w:marTop w:val="0"/>
      <w:marBottom w:val="0"/>
      <w:divBdr>
        <w:top w:val="none" w:sz="0" w:space="0" w:color="auto"/>
        <w:left w:val="none" w:sz="0" w:space="0" w:color="auto"/>
        <w:bottom w:val="none" w:sz="0" w:space="0" w:color="auto"/>
        <w:right w:val="none" w:sz="0" w:space="0" w:color="auto"/>
      </w:divBdr>
      <w:divsChild>
        <w:div w:id="1073888942">
          <w:marLeft w:val="547"/>
          <w:marRight w:val="0"/>
          <w:marTop w:val="0"/>
          <w:marBottom w:val="0"/>
          <w:divBdr>
            <w:top w:val="none" w:sz="0" w:space="0" w:color="auto"/>
            <w:left w:val="none" w:sz="0" w:space="0" w:color="auto"/>
            <w:bottom w:val="none" w:sz="0" w:space="0" w:color="auto"/>
            <w:right w:val="none" w:sz="0" w:space="0" w:color="auto"/>
          </w:divBdr>
        </w:div>
        <w:div w:id="1599022508">
          <w:marLeft w:val="547"/>
          <w:marRight w:val="0"/>
          <w:marTop w:val="120"/>
          <w:marBottom w:val="0"/>
          <w:divBdr>
            <w:top w:val="none" w:sz="0" w:space="0" w:color="auto"/>
            <w:left w:val="none" w:sz="0" w:space="0" w:color="auto"/>
            <w:bottom w:val="none" w:sz="0" w:space="0" w:color="auto"/>
            <w:right w:val="none" w:sz="0" w:space="0" w:color="auto"/>
          </w:divBdr>
        </w:div>
        <w:div w:id="157961423">
          <w:marLeft w:val="547"/>
          <w:marRight w:val="0"/>
          <w:marTop w:val="0"/>
          <w:marBottom w:val="0"/>
          <w:divBdr>
            <w:top w:val="none" w:sz="0" w:space="0" w:color="auto"/>
            <w:left w:val="none" w:sz="0" w:space="0" w:color="auto"/>
            <w:bottom w:val="none" w:sz="0" w:space="0" w:color="auto"/>
            <w:right w:val="none" w:sz="0" w:space="0" w:color="auto"/>
          </w:divBdr>
        </w:div>
        <w:div w:id="389547932">
          <w:marLeft w:val="547"/>
          <w:marRight w:val="0"/>
          <w:marTop w:val="0"/>
          <w:marBottom w:val="0"/>
          <w:divBdr>
            <w:top w:val="none" w:sz="0" w:space="0" w:color="auto"/>
            <w:left w:val="none" w:sz="0" w:space="0" w:color="auto"/>
            <w:bottom w:val="none" w:sz="0" w:space="0" w:color="auto"/>
            <w:right w:val="none" w:sz="0" w:space="0" w:color="auto"/>
          </w:divBdr>
        </w:div>
        <w:div w:id="1494688425">
          <w:marLeft w:val="547"/>
          <w:marRight w:val="0"/>
          <w:marTop w:val="0"/>
          <w:marBottom w:val="0"/>
          <w:divBdr>
            <w:top w:val="none" w:sz="0" w:space="0" w:color="auto"/>
            <w:left w:val="none" w:sz="0" w:space="0" w:color="auto"/>
            <w:bottom w:val="none" w:sz="0" w:space="0" w:color="auto"/>
            <w:right w:val="none" w:sz="0" w:space="0" w:color="auto"/>
          </w:divBdr>
        </w:div>
        <w:div w:id="240024242">
          <w:marLeft w:val="547"/>
          <w:marRight w:val="0"/>
          <w:marTop w:val="0"/>
          <w:marBottom w:val="0"/>
          <w:divBdr>
            <w:top w:val="none" w:sz="0" w:space="0" w:color="auto"/>
            <w:left w:val="none" w:sz="0" w:space="0" w:color="auto"/>
            <w:bottom w:val="none" w:sz="0" w:space="0" w:color="auto"/>
            <w:right w:val="none" w:sz="0" w:space="0" w:color="auto"/>
          </w:divBdr>
        </w:div>
      </w:divsChild>
    </w:div>
    <w:div w:id="1720086042">
      <w:bodyDiv w:val="1"/>
      <w:marLeft w:val="0"/>
      <w:marRight w:val="0"/>
      <w:marTop w:val="0"/>
      <w:marBottom w:val="0"/>
      <w:divBdr>
        <w:top w:val="none" w:sz="0" w:space="0" w:color="auto"/>
        <w:left w:val="none" w:sz="0" w:space="0" w:color="auto"/>
        <w:bottom w:val="none" w:sz="0" w:space="0" w:color="auto"/>
        <w:right w:val="none" w:sz="0" w:space="0" w:color="auto"/>
      </w:divBdr>
      <w:divsChild>
        <w:div w:id="1106849690">
          <w:marLeft w:val="547"/>
          <w:marRight w:val="0"/>
          <w:marTop w:val="0"/>
          <w:marBottom w:val="0"/>
          <w:divBdr>
            <w:top w:val="none" w:sz="0" w:space="0" w:color="auto"/>
            <w:left w:val="none" w:sz="0" w:space="0" w:color="auto"/>
            <w:bottom w:val="none" w:sz="0" w:space="0" w:color="auto"/>
            <w:right w:val="none" w:sz="0" w:space="0" w:color="auto"/>
          </w:divBdr>
        </w:div>
        <w:div w:id="698698193">
          <w:marLeft w:val="547"/>
          <w:marRight w:val="0"/>
          <w:marTop w:val="0"/>
          <w:marBottom w:val="0"/>
          <w:divBdr>
            <w:top w:val="none" w:sz="0" w:space="0" w:color="auto"/>
            <w:left w:val="none" w:sz="0" w:space="0" w:color="auto"/>
            <w:bottom w:val="none" w:sz="0" w:space="0" w:color="auto"/>
            <w:right w:val="none" w:sz="0" w:space="0" w:color="auto"/>
          </w:divBdr>
        </w:div>
        <w:div w:id="1456873243">
          <w:marLeft w:val="547"/>
          <w:marRight w:val="0"/>
          <w:marTop w:val="0"/>
          <w:marBottom w:val="0"/>
          <w:divBdr>
            <w:top w:val="none" w:sz="0" w:space="0" w:color="auto"/>
            <w:left w:val="none" w:sz="0" w:space="0" w:color="auto"/>
            <w:bottom w:val="none" w:sz="0" w:space="0" w:color="auto"/>
            <w:right w:val="none" w:sz="0" w:space="0" w:color="auto"/>
          </w:divBdr>
        </w:div>
        <w:div w:id="1630742971">
          <w:marLeft w:val="547"/>
          <w:marRight w:val="0"/>
          <w:marTop w:val="0"/>
          <w:marBottom w:val="0"/>
          <w:divBdr>
            <w:top w:val="none" w:sz="0" w:space="0" w:color="auto"/>
            <w:left w:val="none" w:sz="0" w:space="0" w:color="auto"/>
            <w:bottom w:val="none" w:sz="0" w:space="0" w:color="auto"/>
            <w:right w:val="none" w:sz="0" w:space="0" w:color="auto"/>
          </w:divBdr>
        </w:div>
        <w:div w:id="865606088">
          <w:marLeft w:val="547"/>
          <w:marRight w:val="0"/>
          <w:marTop w:val="0"/>
          <w:marBottom w:val="0"/>
          <w:divBdr>
            <w:top w:val="none" w:sz="0" w:space="0" w:color="auto"/>
            <w:left w:val="none" w:sz="0" w:space="0" w:color="auto"/>
            <w:bottom w:val="none" w:sz="0" w:space="0" w:color="auto"/>
            <w:right w:val="none" w:sz="0" w:space="0" w:color="auto"/>
          </w:divBdr>
        </w:div>
        <w:div w:id="1231958595">
          <w:marLeft w:val="547"/>
          <w:marRight w:val="0"/>
          <w:marTop w:val="0"/>
          <w:marBottom w:val="0"/>
          <w:divBdr>
            <w:top w:val="none" w:sz="0" w:space="0" w:color="auto"/>
            <w:left w:val="none" w:sz="0" w:space="0" w:color="auto"/>
            <w:bottom w:val="none" w:sz="0" w:space="0" w:color="auto"/>
            <w:right w:val="none" w:sz="0" w:space="0" w:color="auto"/>
          </w:divBdr>
        </w:div>
        <w:div w:id="685794314">
          <w:marLeft w:val="547"/>
          <w:marRight w:val="0"/>
          <w:marTop w:val="0"/>
          <w:marBottom w:val="0"/>
          <w:divBdr>
            <w:top w:val="none" w:sz="0" w:space="0" w:color="auto"/>
            <w:left w:val="none" w:sz="0" w:space="0" w:color="auto"/>
            <w:bottom w:val="none" w:sz="0" w:space="0" w:color="auto"/>
            <w:right w:val="none" w:sz="0" w:space="0" w:color="auto"/>
          </w:divBdr>
        </w:div>
        <w:div w:id="1064329179">
          <w:marLeft w:val="547"/>
          <w:marRight w:val="0"/>
          <w:marTop w:val="0"/>
          <w:marBottom w:val="0"/>
          <w:divBdr>
            <w:top w:val="none" w:sz="0" w:space="0" w:color="auto"/>
            <w:left w:val="none" w:sz="0" w:space="0" w:color="auto"/>
            <w:bottom w:val="none" w:sz="0" w:space="0" w:color="auto"/>
            <w:right w:val="none" w:sz="0" w:space="0" w:color="auto"/>
          </w:divBdr>
        </w:div>
        <w:div w:id="789787989">
          <w:marLeft w:val="547"/>
          <w:marRight w:val="0"/>
          <w:marTop w:val="0"/>
          <w:marBottom w:val="0"/>
          <w:divBdr>
            <w:top w:val="none" w:sz="0" w:space="0" w:color="auto"/>
            <w:left w:val="none" w:sz="0" w:space="0" w:color="auto"/>
            <w:bottom w:val="none" w:sz="0" w:space="0" w:color="auto"/>
            <w:right w:val="none" w:sz="0" w:space="0" w:color="auto"/>
          </w:divBdr>
        </w:div>
        <w:div w:id="1367102034">
          <w:marLeft w:val="547"/>
          <w:marRight w:val="0"/>
          <w:marTop w:val="0"/>
          <w:marBottom w:val="0"/>
          <w:divBdr>
            <w:top w:val="none" w:sz="0" w:space="0" w:color="auto"/>
            <w:left w:val="none" w:sz="0" w:space="0" w:color="auto"/>
            <w:bottom w:val="none" w:sz="0" w:space="0" w:color="auto"/>
            <w:right w:val="none" w:sz="0" w:space="0" w:color="auto"/>
          </w:divBdr>
        </w:div>
        <w:div w:id="234364085">
          <w:marLeft w:val="547"/>
          <w:marRight w:val="0"/>
          <w:marTop w:val="0"/>
          <w:marBottom w:val="0"/>
          <w:divBdr>
            <w:top w:val="none" w:sz="0" w:space="0" w:color="auto"/>
            <w:left w:val="none" w:sz="0" w:space="0" w:color="auto"/>
            <w:bottom w:val="none" w:sz="0" w:space="0" w:color="auto"/>
            <w:right w:val="none" w:sz="0" w:space="0" w:color="auto"/>
          </w:divBdr>
        </w:div>
        <w:div w:id="970284957">
          <w:marLeft w:val="547"/>
          <w:marRight w:val="0"/>
          <w:marTop w:val="0"/>
          <w:marBottom w:val="0"/>
          <w:divBdr>
            <w:top w:val="none" w:sz="0" w:space="0" w:color="auto"/>
            <w:left w:val="none" w:sz="0" w:space="0" w:color="auto"/>
            <w:bottom w:val="none" w:sz="0" w:space="0" w:color="auto"/>
            <w:right w:val="none" w:sz="0" w:space="0" w:color="auto"/>
          </w:divBdr>
        </w:div>
        <w:div w:id="1854034184">
          <w:marLeft w:val="547"/>
          <w:marRight w:val="0"/>
          <w:marTop w:val="0"/>
          <w:marBottom w:val="0"/>
          <w:divBdr>
            <w:top w:val="none" w:sz="0" w:space="0" w:color="auto"/>
            <w:left w:val="none" w:sz="0" w:space="0" w:color="auto"/>
            <w:bottom w:val="none" w:sz="0" w:space="0" w:color="auto"/>
            <w:right w:val="none" w:sz="0" w:space="0" w:color="auto"/>
          </w:divBdr>
        </w:div>
        <w:div w:id="1248266569">
          <w:marLeft w:val="547"/>
          <w:marRight w:val="0"/>
          <w:marTop w:val="0"/>
          <w:marBottom w:val="0"/>
          <w:divBdr>
            <w:top w:val="none" w:sz="0" w:space="0" w:color="auto"/>
            <w:left w:val="none" w:sz="0" w:space="0" w:color="auto"/>
            <w:bottom w:val="none" w:sz="0" w:space="0" w:color="auto"/>
            <w:right w:val="none" w:sz="0" w:space="0" w:color="auto"/>
          </w:divBdr>
        </w:div>
        <w:div w:id="1841769499">
          <w:marLeft w:val="547"/>
          <w:marRight w:val="0"/>
          <w:marTop w:val="0"/>
          <w:marBottom w:val="0"/>
          <w:divBdr>
            <w:top w:val="none" w:sz="0" w:space="0" w:color="auto"/>
            <w:left w:val="none" w:sz="0" w:space="0" w:color="auto"/>
            <w:bottom w:val="none" w:sz="0" w:space="0" w:color="auto"/>
            <w:right w:val="none" w:sz="0" w:space="0" w:color="auto"/>
          </w:divBdr>
        </w:div>
        <w:div w:id="1277786477">
          <w:marLeft w:val="547"/>
          <w:marRight w:val="0"/>
          <w:marTop w:val="0"/>
          <w:marBottom w:val="0"/>
          <w:divBdr>
            <w:top w:val="none" w:sz="0" w:space="0" w:color="auto"/>
            <w:left w:val="none" w:sz="0" w:space="0" w:color="auto"/>
            <w:bottom w:val="none" w:sz="0" w:space="0" w:color="auto"/>
            <w:right w:val="none" w:sz="0" w:space="0" w:color="auto"/>
          </w:divBdr>
        </w:div>
        <w:div w:id="1936355801">
          <w:marLeft w:val="547"/>
          <w:marRight w:val="0"/>
          <w:marTop w:val="0"/>
          <w:marBottom w:val="0"/>
          <w:divBdr>
            <w:top w:val="none" w:sz="0" w:space="0" w:color="auto"/>
            <w:left w:val="none" w:sz="0" w:space="0" w:color="auto"/>
            <w:bottom w:val="none" w:sz="0" w:space="0" w:color="auto"/>
            <w:right w:val="none" w:sz="0" w:space="0" w:color="auto"/>
          </w:divBdr>
        </w:div>
        <w:div w:id="144855260">
          <w:marLeft w:val="547"/>
          <w:marRight w:val="0"/>
          <w:marTop w:val="0"/>
          <w:marBottom w:val="0"/>
          <w:divBdr>
            <w:top w:val="none" w:sz="0" w:space="0" w:color="auto"/>
            <w:left w:val="none" w:sz="0" w:space="0" w:color="auto"/>
            <w:bottom w:val="none" w:sz="0" w:space="0" w:color="auto"/>
            <w:right w:val="none" w:sz="0" w:space="0" w:color="auto"/>
          </w:divBdr>
        </w:div>
        <w:div w:id="695497764">
          <w:marLeft w:val="547"/>
          <w:marRight w:val="0"/>
          <w:marTop w:val="0"/>
          <w:marBottom w:val="0"/>
          <w:divBdr>
            <w:top w:val="none" w:sz="0" w:space="0" w:color="auto"/>
            <w:left w:val="none" w:sz="0" w:space="0" w:color="auto"/>
            <w:bottom w:val="none" w:sz="0" w:space="0" w:color="auto"/>
            <w:right w:val="none" w:sz="0" w:space="0" w:color="auto"/>
          </w:divBdr>
        </w:div>
        <w:div w:id="1885214219">
          <w:marLeft w:val="547"/>
          <w:marRight w:val="0"/>
          <w:marTop w:val="0"/>
          <w:marBottom w:val="0"/>
          <w:divBdr>
            <w:top w:val="none" w:sz="0" w:space="0" w:color="auto"/>
            <w:left w:val="none" w:sz="0" w:space="0" w:color="auto"/>
            <w:bottom w:val="none" w:sz="0" w:space="0" w:color="auto"/>
            <w:right w:val="none" w:sz="0" w:space="0" w:color="auto"/>
          </w:divBdr>
        </w:div>
        <w:div w:id="818421366">
          <w:marLeft w:val="547"/>
          <w:marRight w:val="0"/>
          <w:marTop w:val="0"/>
          <w:marBottom w:val="0"/>
          <w:divBdr>
            <w:top w:val="none" w:sz="0" w:space="0" w:color="auto"/>
            <w:left w:val="none" w:sz="0" w:space="0" w:color="auto"/>
            <w:bottom w:val="none" w:sz="0" w:space="0" w:color="auto"/>
            <w:right w:val="none" w:sz="0" w:space="0" w:color="auto"/>
          </w:divBdr>
        </w:div>
        <w:div w:id="339166465">
          <w:marLeft w:val="547"/>
          <w:marRight w:val="0"/>
          <w:marTop w:val="0"/>
          <w:marBottom w:val="0"/>
          <w:divBdr>
            <w:top w:val="none" w:sz="0" w:space="0" w:color="auto"/>
            <w:left w:val="none" w:sz="0" w:space="0" w:color="auto"/>
            <w:bottom w:val="none" w:sz="0" w:space="0" w:color="auto"/>
            <w:right w:val="none" w:sz="0" w:space="0" w:color="auto"/>
          </w:divBdr>
        </w:div>
        <w:div w:id="1385761193">
          <w:marLeft w:val="547"/>
          <w:marRight w:val="0"/>
          <w:marTop w:val="0"/>
          <w:marBottom w:val="0"/>
          <w:divBdr>
            <w:top w:val="none" w:sz="0" w:space="0" w:color="auto"/>
            <w:left w:val="none" w:sz="0" w:space="0" w:color="auto"/>
            <w:bottom w:val="none" w:sz="0" w:space="0" w:color="auto"/>
            <w:right w:val="none" w:sz="0" w:space="0" w:color="auto"/>
          </w:divBdr>
        </w:div>
        <w:div w:id="83108470">
          <w:marLeft w:val="547"/>
          <w:marRight w:val="0"/>
          <w:marTop w:val="0"/>
          <w:marBottom w:val="0"/>
          <w:divBdr>
            <w:top w:val="none" w:sz="0" w:space="0" w:color="auto"/>
            <w:left w:val="none" w:sz="0" w:space="0" w:color="auto"/>
            <w:bottom w:val="none" w:sz="0" w:space="0" w:color="auto"/>
            <w:right w:val="none" w:sz="0" w:space="0" w:color="auto"/>
          </w:divBdr>
        </w:div>
        <w:div w:id="290482079">
          <w:marLeft w:val="547"/>
          <w:marRight w:val="0"/>
          <w:marTop w:val="0"/>
          <w:marBottom w:val="0"/>
          <w:divBdr>
            <w:top w:val="none" w:sz="0" w:space="0" w:color="auto"/>
            <w:left w:val="none" w:sz="0" w:space="0" w:color="auto"/>
            <w:bottom w:val="none" w:sz="0" w:space="0" w:color="auto"/>
            <w:right w:val="none" w:sz="0" w:space="0" w:color="auto"/>
          </w:divBdr>
        </w:div>
        <w:div w:id="959186761">
          <w:marLeft w:val="547"/>
          <w:marRight w:val="0"/>
          <w:marTop w:val="0"/>
          <w:marBottom w:val="0"/>
          <w:divBdr>
            <w:top w:val="none" w:sz="0" w:space="0" w:color="auto"/>
            <w:left w:val="none" w:sz="0" w:space="0" w:color="auto"/>
            <w:bottom w:val="none" w:sz="0" w:space="0" w:color="auto"/>
            <w:right w:val="none" w:sz="0" w:space="0" w:color="auto"/>
          </w:divBdr>
        </w:div>
        <w:div w:id="654144963">
          <w:marLeft w:val="547"/>
          <w:marRight w:val="0"/>
          <w:marTop w:val="0"/>
          <w:marBottom w:val="0"/>
          <w:divBdr>
            <w:top w:val="none" w:sz="0" w:space="0" w:color="auto"/>
            <w:left w:val="none" w:sz="0" w:space="0" w:color="auto"/>
            <w:bottom w:val="none" w:sz="0" w:space="0" w:color="auto"/>
            <w:right w:val="none" w:sz="0" w:space="0" w:color="auto"/>
          </w:divBdr>
        </w:div>
        <w:div w:id="59401326">
          <w:marLeft w:val="547"/>
          <w:marRight w:val="0"/>
          <w:marTop w:val="0"/>
          <w:marBottom w:val="0"/>
          <w:divBdr>
            <w:top w:val="none" w:sz="0" w:space="0" w:color="auto"/>
            <w:left w:val="none" w:sz="0" w:space="0" w:color="auto"/>
            <w:bottom w:val="none" w:sz="0" w:space="0" w:color="auto"/>
            <w:right w:val="none" w:sz="0" w:space="0" w:color="auto"/>
          </w:divBdr>
        </w:div>
        <w:div w:id="265424341">
          <w:marLeft w:val="547"/>
          <w:marRight w:val="0"/>
          <w:marTop w:val="0"/>
          <w:marBottom w:val="0"/>
          <w:divBdr>
            <w:top w:val="none" w:sz="0" w:space="0" w:color="auto"/>
            <w:left w:val="none" w:sz="0" w:space="0" w:color="auto"/>
            <w:bottom w:val="none" w:sz="0" w:space="0" w:color="auto"/>
            <w:right w:val="none" w:sz="0" w:space="0" w:color="auto"/>
          </w:divBdr>
        </w:div>
        <w:div w:id="2040473626">
          <w:marLeft w:val="547"/>
          <w:marRight w:val="0"/>
          <w:marTop w:val="0"/>
          <w:marBottom w:val="0"/>
          <w:divBdr>
            <w:top w:val="none" w:sz="0" w:space="0" w:color="auto"/>
            <w:left w:val="none" w:sz="0" w:space="0" w:color="auto"/>
            <w:bottom w:val="none" w:sz="0" w:space="0" w:color="auto"/>
            <w:right w:val="none" w:sz="0" w:space="0" w:color="auto"/>
          </w:divBdr>
        </w:div>
        <w:div w:id="751316752">
          <w:marLeft w:val="547"/>
          <w:marRight w:val="0"/>
          <w:marTop w:val="0"/>
          <w:marBottom w:val="0"/>
          <w:divBdr>
            <w:top w:val="none" w:sz="0" w:space="0" w:color="auto"/>
            <w:left w:val="none" w:sz="0" w:space="0" w:color="auto"/>
            <w:bottom w:val="none" w:sz="0" w:space="0" w:color="auto"/>
            <w:right w:val="none" w:sz="0" w:space="0" w:color="auto"/>
          </w:divBdr>
        </w:div>
        <w:div w:id="1862009535">
          <w:marLeft w:val="547"/>
          <w:marRight w:val="0"/>
          <w:marTop w:val="0"/>
          <w:marBottom w:val="0"/>
          <w:divBdr>
            <w:top w:val="none" w:sz="0" w:space="0" w:color="auto"/>
            <w:left w:val="none" w:sz="0" w:space="0" w:color="auto"/>
            <w:bottom w:val="none" w:sz="0" w:space="0" w:color="auto"/>
            <w:right w:val="none" w:sz="0" w:space="0" w:color="auto"/>
          </w:divBdr>
        </w:div>
        <w:div w:id="1094130129">
          <w:marLeft w:val="547"/>
          <w:marRight w:val="0"/>
          <w:marTop w:val="0"/>
          <w:marBottom w:val="0"/>
          <w:divBdr>
            <w:top w:val="none" w:sz="0" w:space="0" w:color="auto"/>
            <w:left w:val="none" w:sz="0" w:space="0" w:color="auto"/>
            <w:bottom w:val="none" w:sz="0" w:space="0" w:color="auto"/>
            <w:right w:val="none" w:sz="0" w:space="0" w:color="auto"/>
          </w:divBdr>
        </w:div>
        <w:div w:id="1197502992">
          <w:marLeft w:val="547"/>
          <w:marRight w:val="0"/>
          <w:marTop w:val="0"/>
          <w:marBottom w:val="0"/>
          <w:divBdr>
            <w:top w:val="none" w:sz="0" w:space="0" w:color="auto"/>
            <w:left w:val="none" w:sz="0" w:space="0" w:color="auto"/>
            <w:bottom w:val="none" w:sz="0" w:space="0" w:color="auto"/>
            <w:right w:val="none" w:sz="0" w:space="0" w:color="auto"/>
          </w:divBdr>
        </w:div>
        <w:div w:id="1301110202">
          <w:marLeft w:val="547"/>
          <w:marRight w:val="0"/>
          <w:marTop w:val="0"/>
          <w:marBottom w:val="0"/>
          <w:divBdr>
            <w:top w:val="none" w:sz="0" w:space="0" w:color="auto"/>
            <w:left w:val="none" w:sz="0" w:space="0" w:color="auto"/>
            <w:bottom w:val="none" w:sz="0" w:space="0" w:color="auto"/>
            <w:right w:val="none" w:sz="0" w:space="0" w:color="auto"/>
          </w:divBdr>
        </w:div>
        <w:div w:id="1677876197">
          <w:marLeft w:val="547"/>
          <w:marRight w:val="0"/>
          <w:marTop w:val="0"/>
          <w:marBottom w:val="0"/>
          <w:divBdr>
            <w:top w:val="none" w:sz="0" w:space="0" w:color="auto"/>
            <w:left w:val="none" w:sz="0" w:space="0" w:color="auto"/>
            <w:bottom w:val="none" w:sz="0" w:space="0" w:color="auto"/>
            <w:right w:val="none" w:sz="0" w:space="0" w:color="auto"/>
          </w:divBdr>
        </w:div>
        <w:div w:id="996685160">
          <w:marLeft w:val="547"/>
          <w:marRight w:val="0"/>
          <w:marTop w:val="0"/>
          <w:marBottom w:val="0"/>
          <w:divBdr>
            <w:top w:val="none" w:sz="0" w:space="0" w:color="auto"/>
            <w:left w:val="none" w:sz="0" w:space="0" w:color="auto"/>
            <w:bottom w:val="none" w:sz="0" w:space="0" w:color="auto"/>
            <w:right w:val="none" w:sz="0" w:space="0" w:color="auto"/>
          </w:divBdr>
        </w:div>
        <w:div w:id="345325515">
          <w:marLeft w:val="547"/>
          <w:marRight w:val="0"/>
          <w:marTop w:val="0"/>
          <w:marBottom w:val="0"/>
          <w:divBdr>
            <w:top w:val="none" w:sz="0" w:space="0" w:color="auto"/>
            <w:left w:val="none" w:sz="0" w:space="0" w:color="auto"/>
            <w:bottom w:val="none" w:sz="0" w:space="0" w:color="auto"/>
            <w:right w:val="none" w:sz="0" w:space="0" w:color="auto"/>
          </w:divBdr>
        </w:div>
      </w:divsChild>
    </w:div>
    <w:div w:id="1810786752">
      <w:bodyDiv w:val="1"/>
      <w:marLeft w:val="0"/>
      <w:marRight w:val="0"/>
      <w:marTop w:val="0"/>
      <w:marBottom w:val="0"/>
      <w:divBdr>
        <w:top w:val="none" w:sz="0" w:space="0" w:color="auto"/>
        <w:left w:val="none" w:sz="0" w:space="0" w:color="auto"/>
        <w:bottom w:val="none" w:sz="0" w:space="0" w:color="auto"/>
        <w:right w:val="none" w:sz="0" w:space="0" w:color="auto"/>
      </w:divBdr>
      <w:divsChild>
        <w:div w:id="181019535">
          <w:marLeft w:val="547"/>
          <w:marRight w:val="0"/>
          <w:marTop w:val="0"/>
          <w:marBottom w:val="240"/>
          <w:divBdr>
            <w:top w:val="none" w:sz="0" w:space="0" w:color="auto"/>
            <w:left w:val="none" w:sz="0" w:space="0" w:color="auto"/>
            <w:bottom w:val="none" w:sz="0" w:space="0" w:color="auto"/>
            <w:right w:val="none" w:sz="0" w:space="0" w:color="auto"/>
          </w:divBdr>
        </w:div>
        <w:div w:id="1665236472">
          <w:marLeft w:val="547"/>
          <w:marRight w:val="0"/>
          <w:marTop w:val="0"/>
          <w:marBottom w:val="240"/>
          <w:divBdr>
            <w:top w:val="none" w:sz="0" w:space="0" w:color="auto"/>
            <w:left w:val="none" w:sz="0" w:space="0" w:color="auto"/>
            <w:bottom w:val="none" w:sz="0" w:space="0" w:color="auto"/>
            <w:right w:val="none" w:sz="0" w:space="0" w:color="auto"/>
          </w:divBdr>
        </w:div>
        <w:div w:id="1925453476">
          <w:marLeft w:val="547"/>
          <w:marRight w:val="0"/>
          <w:marTop w:val="0"/>
          <w:marBottom w:val="240"/>
          <w:divBdr>
            <w:top w:val="none" w:sz="0" w:space="0" w:color="auto"/>
            <w:left w:val="none" w:sz="0" w:space="0" w:color="auto"/>
            <w:bottom w:val="none" w:sz="0" w:space="0" w:color="auto"/>
            <w:right w:val="none" w:sz="0" w:space="0" w:color="auto"/>
          </w:divBdr>
        </w:div>
        <w:div w:id="354768238">
          <w:marLeft w:val="547"/>
          <w:marRight w:val="0"/>
          <w:marTop w:val="0"/>
          <w:marBottom w:val="240"/>
          <w:divBdr>
            <w:top w:val="none" w:sz="0" w:space="0" w:color="auto"/>
            <w:left w:val="none" w:sz="0" w:space="0" w:color="auto"/>
            <w:bottom w:val="none" w:sz="0" w:space="0" w:color="auto"/>
            <w:right w:val="none" w:sz="0" w:space="0" w:color="auto"/>
          </w:divBdr>
        </w:div>
      </w:divsChild>
    </w:div>
    <w:div w:id="1876652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knowledgeagainsthunger.org/wp-content/uploads/2018/12/1.-A-protection-perspective-on-cash-and-nutrition.pdf" TargetMode="Externa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hyperlink" Target="https://www.calpnetwork.org/publication/cva-in-covid-19-contexts-guidance-from-the-calp-network/" TargetMode="External"/><Relationship Id="rId7" Type="http://schemas.openxmlformats.org/officeDocument/2006/relationships/endnotes" Target="endnotes.xml"/><Relationship Id="rId12" Type="http://schemas.openxmlformats.org/officeDocument/2006/relationships/hyperlink" Target="https://www.actionagainsthunger.org/sites/default/files/publications/NUTRITION_Case_Study_Nigeria_Porridge_Mums.pdf" TargetMode="Externa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oleObject" Target="embeddings/Microsoft_Excel_97-2003_Worksheet.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liefweb.int/sites/reliefweb.int/files/resources/201708-nigeriab3c-final-evaluation-report_0.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oter" Target="footer1.xml"/><Relationship Id="rId10" Type="http://schemas.openxmlformats.org/officeDocument/2006/relationships/hyperlink" Target="mailto:andurr@unicef.org"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evtracker.dfid.gov.uk/projects/GB-CHC-1047501-NUT2-Nigeria/documents" TargetMode="External"/><Relationship Id="rId22" Type="http://schemas.openxmlformats.org/officeDocument/2006/relationships/hyperlink" Target="https://www.calpnetwork.org/publication/cva-in-covid-19-contexts-guidance-from-the-calp-networ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bmcmedicine.biomedcentral.com/articles/10.1186/s12916-017-0848-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2425FE-A56D-4973-AE36-CEFF7388C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10429</TotalTime>
  <Pages>4</Pages>
  <Words>6830</Words>
  <Characters>38937</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Durr</dc:creator>
  <cp:keywords/>
  <dc:description/>
  <cp:lastModifiedBy>Andre Durr</cp:lastModifiedBy>
  <cp:revision>158</cp:revision>
  <cp:lastPrinted>2020-05-28T09:54:00Z</cp:lastPrinted>
  <dcterms:created xsi:type="dcterms:W3CDTF">2020-03-31T13:16:00Z</dcterms:created>
  <dcterms:modified xsi:type="dcterms:W3CDTF">2020-05-28T09:54:00Z</dcterms:modified>
</cp:coreProperties>
</file>