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2BCE" w14:textId="77777777" w:rsidR="00224C13" w:rsidRDefault="00B13ABC" w:rsidP="00B13A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</w:pPr>
      <w:r w:rsidRPr="00B13ABC"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  <w:t>E</w:t>
      </w:r>
      <w:r w:rsidR="00A00973" w:rsidRPr="00B13ABC"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  <w:t xml:space="preserve">njeux et aspects communs à prendre en compte dans </w:t>
      </w:r>
      <w:r w:rsidRPr="00B13ABC"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  <w:t>la mise en place d’un système</w:t>
      </w:r>
      <w:r w:rsidR="00A00973" w:rsidRPr="00B13ABC"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  <w:t xml:space="preserve"> de </w:t>
      </w:r>
      <w:r w:rsidRPr="00B13ABC">
        <w:rPr>
          <w:rFonts w:asciiTheme="majorHAnsi" w:eastAsiaTheme="minorHAnsi" w:hAnsiTheme="majorHAnsi" w:cstheme="minorHAnsi"/>
          <w:b/>
          <w:i/>
          <w:color w:val="000000"/>
          <w:sz w:val="32"/>
          <w:lang w:val="fr-FR"/>
        </w:rPr>
        <w:t>suivi</w:t>
      </w:r>
    </w:p>
    <w:p w14:paraId="29CCC381" w14:textId="77777777" w:rsidR="003E3785" w:rsidRPr="00B13ABC" w:rsidRDefault="003E3785" w:rsidP="00B13AB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theme="minorHAnsi"/>
          <w:b/>
          <w:i/>
          <w:color w:val="000000"/>
          <w:sz w:val="3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18"/>
      </w:tblGrid>
      <w:tr w:rsidR="00224C13" w:rsidRPr="00B13ABC" w14:paraId="0E90AC03" w14:textId="77777777" w:rsidTr="00B13ABC">
        <w:tc>
          <w:tcPr>
            <w:tcW w:w="4788" w:type="dxa"/>
            <w:shd w:val="clear" w:color="auto" w:fill="EEECE1" w:themeFill="background2"/>
          </w:tcPr>
          <w:p w14:paraId="002022B4" w14:textId="77777777" w:rsidR="00224C13" w:rsidRPr="00B13ABC" w:rsidRDefault="00A00973" w:rsidP="00B13AB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</w:pPr>
            <w:r w:rsidRPr="00B13ABC"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fr-CH"/>
              </w:rPr>
              <w:t>Défi</w:t>
            </w:r>
          </w:p>
        </w:tc>
        <w:tc>
          <w:tcPr>
            <w:tcW w:w="4788" w:type="dxa"/>
            <w:shd w:val="clear" w:color="auto" w:fill="EEECE1" w:themeFill="background2"/>
          </w:tcPr>
          <w:p w14:paraId="6BE014F3" w14:textId="77777777" w:rsidR="00224C13" w:rsidRPr="00B13ABC" w:rsidRDefault="00224C13" w:rsidP="00B13ABC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</w:pPr>
            <w:r w:rsidRPr="00B13ABC"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  <w:t xml:space="preserve">Points </w:t>
            </w:r>
            <w:r w:rsidR="00A00973" w:rsidRPr="00B13ABC"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  <w:t>à</w:t>
            </w:r>
            <w:r w:rsidRPr="00B13ABC"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  <w:t xml:space="preserve"> consider</w:t>
            </w:r>
            <w:r w:rsidR="00A00973" w:rsidRPr="00B13ABC">
              <w:rPr>
                <w:rFonts w:asciiTheme="majorHAnsi" w:eastAsiaTheme="minorHAnsi" w:hAnsiTheme="majorHAnsi" w:cstheme="minorHAnsi"/>
                <w:b/>
                <w:color w:val="000000"/>
                <w:sz w:val="24"/>
                <w:lang w:val="en-GB"/>
              </w:rPr>
              <w:t>er</w:t>
            </w:r>
          </w:p>
        </w:tc>
      </w:tr>
      <w:tr w:rsidR="00224C13" w:rsidRPr="00B24FC1" w14:paraId="49DA7DE8" w14:textId="77777777" w:rsidTr="00BD21BF">
        <w:tc>
          <w:tcPr>
            <w:tcW w:w="4788" w:type="dxa"/>
          </w:tcPr>
          <w:p w14:paraId="5F23A902" w14:textId="77777777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lang w:val="fr-FR"/>
              </w:rPr>
              <w:t>Une tendance à se concentrer sur la situation et le suivi des progrès, plutôt que sur les résultats et l'impact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  <w:p w14:paraId="76179B39" w14:textId="0D874F67" w:rsidR="00224C13" w:rsidRPr="00B13ABC" w:rsidRDefault="00581C86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Liens trop faibles</w:t>
            </w:r>
            <w:r w:rsidR="00A00973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entre le suivi de la situation et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le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s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rapports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régulier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s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</w:t>
            </w:r>
            <w:r w:rsidR="00A00973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standards, conduisant à une focalisation sur la réalisation des activités prévues 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pour ces rapports </w:t>
            </w:r>
            <w:r w:rsidR="00A00973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sans faire 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nécessairement </w:t>
            </w:r>
            <w:r w:rsidR="00A00973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référence au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change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men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t </w:t>
            </w:r>
            <w:r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de </w:t>
            </w:r>
            <w:r w:rsidR="00A00973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contexte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  <w:p w14:paraId="02AAD053" w14:textId="1A8CFB21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Participation insuffisante des parties pre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nantes du Cluster Nutrition et d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es communautés affectées dans le développement du système de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suivi,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ou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d’utilisation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d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es informations recueillies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  <w:p w14:paraId="6E06A1F1" w14:textId="2D8ADA3C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Doublons dans la collecte d'information.</w:t>
            </w:r>
          </w:p>
          <w:p w14:paraId="0F7F97B0" w14:textId="19A812E4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Difficulté à obtenir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un 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accord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sur les outils et l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es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approches à utiliser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par tous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pour le suivi.</w:t>
            </w:r>
          </w:p>
          <w:p w14:paraId="2CEAEC2B" w14:textId="5FE97989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Collecte des informations de base erronées ou insuffisantes, ce qui empêche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 xml:space="preserve">une 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>évaluation efficace des progrès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  <w:p w14:paraId="4B72EE0F" w14:textId="1AE86C44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Indicateur mal définis, inadéquats ou trop nombreux pour guider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le suivi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de tous les aspects de l'intervention du Cluster Nutrition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  <w:p w14:paraId="13239762" w14:textId="618E2AF8" w:rsidR="00224C13" w:rsidRPr="00B13ABC" w:rsidRDefault="00A00973" w:rsidP="00224C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Le manque, ou la collecte peu fiable, des données </w:t>
            </w:r>
            <w:r w:rsidR="00D63B2C"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ventilées 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par sexe et par âge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(DDAS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), ou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une 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mauvaise analyse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de ce type de données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id-ID"/>
              </w:rPr>
              <w:t>.</w:t>
            </w:r>
          </w:p>
          <w:p w14:paraId="57734D96" w14:textId="4FEEE9B2" w:rsidR="00224C13" w:rsidRPr="00B13ABC" w:rsidRDefault="00A00973" w:rsidP="00581C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color w:val="000000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Incapacité à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suivre les objectifs visés ou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les 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indicateurs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,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car ils ne sont pas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mis en lien avec les </w:t>
            </w:r>
            <w:r w:rsidRPr="00B13AB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objectifs stratégiques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plus larges ou 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les atteintes 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d</w:t>
            </w:r>
            <w:r w:rsidR="00581C86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>e</w:t>
            </w:r>
            <w:r w:rsidR="00D63B2C">
              <w:rPr>
                <w:rFonts w:asciiTheme="majorHAnsi" w:eastAsiaTheme="minorHAnsi" w:hAnsiTheme="majorHAnsi" w:cstheme="minorHAnsi"/>
                <w:color w:val="000000"/>
                <w:lang w:val="fr-FR"/>
              </w:rPr>
              <w:t xml:space="preserve"> financement</w:t>
            </w:r>
            <w:r w:rsidR="00224C13" w:rsidRPr="00B13ABC">
              <w:rPr>
                <w:rFonts w:asciiTheme="majorHAnsi" w:eastAsiaTheme="minorHAnsi" w:hAnsiTheme="majorHAnsi" w:cstheme="minorHAnsi"/>
                <w:color w:val="000000"/>
                <w:lang w:val="fr-CH"/>
              </w:rPr>
              <w:t>.</w:t>
            </w:r>
          </w:p>
        </w:tc>
        <w:tc>
          <w:tcPr>
            <w:tcW w:w="4788" w:type="dxa"/>
          </w:tcPr>
          <w:p w14:paraId="7D745C2A" w14:textId="07DA7BFD" w:rsidR="00224C13" w:rsidRPr="00B13ABC" w:rsidRDefault="00284BE5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S'assurer que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les </w:t>
            </w:r>
            <w:r w:rsidRPr="00B13ABC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liens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avec l’élément d'évaluation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du système de </w:t>
            </w:r>
            <w:r w:rsidR="00D63B2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S&amp;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so</w:t>
            </w:r>
            <w:r w:rsidR="00581C86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ie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nt faits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en termes d'indicateurs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 d’informations recueillies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grâce </w:t>
            </w:r>
            <w:r w:rsidR="00D63B2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au suivi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systématique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 xml:space="preserve">. </w:t>
            </w:r>
          </w:p>
          <w:p w14:paraId="7400ADF1" w14:textId="545B2A1E" w:rsidR="00224C13" w:rsidRPr="00B13ABC" w:rsidRDefault="00284BE5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lang w:val="fr-FR"/>
              </w:rPr>
              <w:t>Générer un acc</w:t>
            </w:r>
            <w:bookmarkStart w:id="0" w:name="_GoBack"/>
            <w:bookmarkEnd w:id="0"/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ord au sein du Cluster Nutrition afin d’utiliser les besoins d'information standardisés,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l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es sources et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l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>es indicateurs, qui sont clairement énoncées dans le</w:t>
            </w:r>
            <w:r w:rsidR="00D63B2C">
              <w:rPr>
                <w:rFonts w:asciiTheme="majorHAnsi" w:eastAsiaTheme="minorHAnsi" w:hAnsiTheme="majorHAnsi" w:cstheme="minorHAnsi"/>
                <w:lang w:val="fr-FR"/>
              </w:rPr>
              <w:t>s TdR - SOP du cluster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>.</w:t>
            </w:r>
          </w:p>
          <w:p w14:paraId="591DEBF6" w14:textId="52AC3896" w:rsidR="00224C13" w:rsidRPr="00B13ABC" w:rsidRDefault="00284BE5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lang w:val="fr-FR"/>
              </w:rPr>
              <w:t>S'assurer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, autant que possible,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que les </w:t>
            </w:r>
            <w:r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 xml:space="preserve">indicateurs reflètent </w:t>
            </w:r>
            <w:r w:rsidR="00581C86">
              <w:rPr>
                <w:rFonts w:asciiTheme="majorHAnsi" w:eastAsiaTheme="minorHAnsi" w:hAnsiTheme="majorHAnsi" w:cstheme="minorHAnsi"/>
                <w:b/>
                <w:lang w:val="fr-FR"/>
              </w:rPr>
              <w:t>d</w:t>
            </w:r>
            <w:r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>es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</w:t>
            </w:r>
            <w:r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>besoins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essentiels</w:t>
            </w:r>
            <w:r w:rsidR="00581C86"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et sont pertinents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vis-à-vis des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priorités au niveau national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.</w:t>
            </w:r>
          </w:p>
          <w:p w14:paraId="6BF22E7B" w14:textId="0F2A45B2" w:rsidR="00224C13" w:rsidRPr="00B13ABC" w:rsidRDefault="00284BE5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 xml:space="preserve">Impliquer les partenaires du Cluster nutrition 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dans la conception des systèmes et des outils 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utilis</w:t>
            </w:r>
            <w:r w:rsidR="00581C86" w:rsidRPr="00B13ABC">
              <w:rPr>
                <w:rFonts w:asciiTheme="majorHAnsi" w:eastAsiaTheme="minorHAnsi" w:hAnsiTheme="majorHAnsi" w:cstheme="minorHAnsi"/>
                <w:lang w:val="fr-FR"/>
              </w:rPr>
              <w:t>é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s</w:t>
            </w:r>
            <w:r w:rsidR="00581C86"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(</w:t>
            </w:r>
            <w:r w:rsidR="00581C86">
              <w:rPr>
                <w:rFonts w:asciiTheme="majorHAnsi" w:eastAsiaTheme="minorHAnsi" w:hAnsiTheme="majorHAnsi" w:cstheme="minorHAnsi"/>
                <w:lang w:val="fr-FR"/>
              </w:rPr>
              <w:t>en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sous-groupe) et sensibiliser tous les acteurs aux avantages de la participation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>.</w:t>
            </w:r>
          </w:p>
          <w:p w14:paraId="44EE1706" w14:textId="354D3806" w:rsidR="00224C13" w:rsidRPr="00B13ABC" w:rsidRDefault="00284BE5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eastAsiaTheme="minorHAnsi" w:hAnsiTheme="majorHAnsi" w:cstheme="minorHAnsi"/>
                <w:lang w:val="fr-FR"/>
              </w:rPr>
              <w:t>Accorder une attention adéquate aux besoins d'inf</w:t>
            </w:r>
            <w:r w:rsidR="00D63B2C">
              <w:rPr>
                <w:rFonts w:asciiTheme="majorHAnsi" w:eastAsiaTheme="minorHAnsi" w:hAnsiTheme="majorHAnsi" w:cstheme="minorHAnsi"/>
                <w:lang w:val="fr-FR"/>
              </w:rPr>
              <w:t>ormation sur la nutrition dans l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es données </w:t>
            </w:r>
            <w:r w:rsidR="00D63B2C" w:rsidRPr="00D63B2C">
              <w:rPr>
                <w:rFonts w:asciiTheme="majorHAnsi" w:eastAsiaTheme="minorHAnsi" w:hAnsiTheme="majorHAnsi" w:cstheme="minorHAnsi"/>
                <w:b/>
                <w:lang w:val="fr-FR"/>
              </w:rPr>
              <w:t>d’</w:t>
            </w:r>
            <w:r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>avant et pendant la crise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</w:t>
            </w:r>
            <w:r w:rsidR="00D63B2C">
              <w:rPr>
                <w:rFonts w:asciiTheme="majorHAnsi" w:eastAsiaTheme="minorHAnsi" w:hAnsiTheme="majorHAnsi" w:cstheme="minorHAnsi"/>
                <w:lang w:val="fr-FR"/>
              </w:rPr>
              <w:t>pendant les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étapes </w:t>
            </w:r>
            <w:r w:rsidR="00D63B2C">
              <w:rPr>
                <w:rFonts w:asciiTheme="majorHAnsi" w:eastAsiaTheme="minorHAnsi" w:hAnsiTheme="majorHAnsi" w:cstheme="minorHAnsi"/>
                <w:lang w:val="fr-FR"/>
              </w:rPr>
              <w:t>« préliminaire »</w:t>
            </w:r>
            <w:r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</w:t>
            </w:r>
            <w:r w:rsidR="00A112E8" w:rsidRPr="00B13ABC">
              <w:rPr>
                <w:rFonts w:asciiTheme="majorHAnsi" w:eastAsiaTheme="minorHAnsi" w:hAnsiTheme="majorHAnsi" w:cstheme="minorHAnsi"/>
                <w:lang w:val="fr-FR"/>
              </w:rPr>
              <w:t>et</w:t>
            </w:r>
            <w:r w:rsidR="00D63B2C">
              <w:rPr>
                <w:rFonts w:asciiTheme="majorHAnsi" w:eastAsiaTheme="minorHAnsi" w:hAnsiTheme="majorHAnsi" w:cstheme="minorHAnsi"/>
                <w:lang w:val="fr-FR"/>
              </w:rPr>
              <w:t xml:space="preserve"> « d’évaluation rapide »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 xml:space="preserve">. </w:t>
            </w:r>
          </w:p>
          <w:p w14:paraId="7CF62235" w14:textId="1D84940C" w:rsidR="00224C13" w:rsidRPr="00B13ABC" w:rsidRDefault="00D63B2C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>
              <w:rPr>
                <w:rFonts w:asciiTheme="majorHAnsi" w:eastAsiaTheme="minorHAnsi" w:hAnsiTheme="majorHAnsi" w:cstheme="minorHAnsi"/>
                <w:lang w:val="fr-FR"/>
              </w:rPr>
              <w:t>Incorporer de</w:t>
            </w:r>
            <w:r w:rsidR="00284BE5"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s </w:t>
            </w:r>
            <w:r w:rsidR="00284BE5" w:rsidRPr="00B13ABC">
              <w:rPr>
                <w:rFonts w:asciiTheme="majorHAnsi" w:eastAsiaTheme="minorHAnsi" w:hAnsiTheme="majorHAnsi" w:cstheme="minorHAnsi"/>
                <w:b/>
                <w:lang w:val="fr-FR"/>
              </w:rPr>
              <w:t>équipes</w:t>
            </w:r>
            <w:r w:rsidR="00284BE5"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nationales / locales dans le système de </w:t>
            </w:r>
            <w:r>
              <w:rPr>
                <w:rFonts w:asciiTheme="majorHAnsi" w:eastAsiaTheme="minorHAnsi" w:hAnsiTheme="majorHAnsi" w:cstheme="minorHAnsi"/>
                <w:lang w:val="fr-FR"/>
              </w:rPr>
              <w:t>suivi</w:t>
            </w:r>
            <w:r w:rsidR="00284BE5" w:rsidRPr="00B13ABC">
              <w:rPr>
                <w:rFonts w:asciiTheme="majorHAnsi" w:eastAsiaTheme="minorHAnsi" w:hAnsiTheme="majorHAnsi" w:cstheme="minorHAnsi"/>
                <w:lang w:val="fr-FR"/>
              </w:rPr>
              <w:t xml:space="preserve"> au niveau du cluster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>.</w:t>
            </w:r>
          </w:p>
          <w:p w14:paraId="098B5414" w14:textId="685BBF73" w:rsidR="00224C13" w:rsidRPr="00B13ABC" w:rsidRDefault="0081376B" w:rsidP="00224C1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Fonts w:asciiTheme="majorHAnsi" w:hAnsiTheme="majorHAnsi" w:cstheme="minorHAnsi"/>
                <w:b/>
                <w:lang w:val="fr-FR"/>
              </w:rPr>
              <w:t xml:space="preserve">S'assurer que la collecte et l'analyse </w:t>
            </w:r>
            <w:r w:rsidR="00581C86">
              <w:rPr>
                <w:rFonts w:asciiTheme="majorHAnsi" w:hAnsiTheme="majorHAnsi" w:cstheme="minorHAnsi"/>
                <w:b/>
                <w:lang w:val="fr-FR"/>
              </w:rPr>
              <w:t xml:space="preserve">de données ventilées </w:t>
            </w:r>
            <w:r w:rsidRPr="00B13ABC">
              <w:rPr>
                <w:rFonts w:asciiTheme="majorHAnsi" w:hAnsiTheme="majorHAnsi" w:cstheme="minorHAnsi"/>
                <w:b/>
                <w:lang w:val="fr-FR"/>
              </w:rPr>
              <w:t>par sexe et âge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 de toutes les données concernant la réponse humanitaire, </w:t>
            </w:r>
            <w:r w:rsidR="00581C86">
              <w:rPr>
                <w:rFonts w:asciiTheme="majorHAnsi" w:hAnsiTheme="majorHAnsi" w:cstheme="minorHAnsi"/>
                <w:lang w:val="fr-FR"/>
              </w:rPr>
              <w:t>permettant d’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établir un profil des populations à risque et </w:t>
            </w:r>
            <w:r w:rsidR="00581C86">
              <w:rPr>
                <w:rFonts w:asciiTheme="majorHAnsi" w:hAnsiTheme="majorHAnsi" w:cstheme="minorHAnsi"/>
                <w:lang w:val="fr-FR"/>
              </w:rPr>
              <w:t>d’assurer la satisfaction de leurs besoins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, </w:t>
            </w:r>
            <w:r w:rsidRPr="00B13ABC">
              <w:rPr>
                <w:rFonts w:asciiTheme="majorHAnsi" w:hAnsiTheme="majorHAnsi" w:cstheme="minorHAnsi"/>
                <w:b/>
                <w:lang w:val="fr-FR"/>
              </w:rPr>
              <w:t>devient une pratique courante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. Cela peut se faire en intégrant </w:t>
            </w:r>
            <w:r w:rsidR="00A112E8" w:rsidRPr="00B13ABC">
              <w:rPr>
                <w:rFonts w:asciiTheme="majorHAnsi" w:hAnsiTheme="majorHAnsi" w:cstheme="minorHAnsi"/>
                <w:lang w:val="fr-FR"/>
              </w:rPr>
              <w:t>les besoins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 </w:t>
            </w:r>
            <w:r w:rsidR="00D63B2C">
              <w:rPr>
                <w:rFonts w:asciiTheme="majorHAnsi" w:hAnsiTheme="majorHAnsi" w:cstheme="minorHAnsi"/>
                <w:lang w:val="fr-FR"/>
              </w:rPr>
              <w:t>DDSA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 et </w:t>
            </w:r>
            <w:r w:rsidR="00581C86">
              <w:rPr>
                <w:rFonts w:asciiTheme="majorHAnsi" w:hAnsiTheme="majorHAnsi" w:cstheme="minorHAnsi"/>
                <w:lang w:val="fr-FR"/>
              </w:rPr>
              <w:t>d</w:t>
            </w:r>
            <w:r w:rsidRPr="00B13ABC">
              <w:rPr>
                <w:rFonts w:asciiTheme="majorHAnsi" w:hAnsiTheme="majorHAnsi" w:cstheme="minorHAnsi"/>
                <w:lang w:val="fr-FR"/>
              </w:rPr>
              <w:t xml:space="preserve">es plans de renforcement des capacités </w:t>
            </w:r>
            <w:r w:rsidR="00581C86" w:rsidRPr="00B13ABC">
              <w:rPr>
                <w:rFonts w:asciiTheme="majorHAnsi" w:hAnsiTheme="majorHAnsi" w:cstheme="minorHAnsi"/>
                <w:lang w:val="fr-FR"/>
              </w:rPr>
              <w:t xml:space="preserve">dans les normes minimales des clusters </w:t>
            </w:r>
            <w:r w:rsidRPr="00B13ABC">
              <w:rPr>
                <w:rFonts w:asciiTheme="majorHAnsi" w:hAnsiTheme="majorHAnsi" w:cstheme="minorHAnsi"/>
                <w:lang w:val="fr-FR"/>
              </w:rPr>
              <w:t>ou en</w:t>
            </w:r>
            <w:r w:rsidR="00581C86">
              <w:rPr>
                <w:rFonts w:asciiTheme="majorHAnsi" w:hAnsiTheme="majorHAnsi" w:cstheme="minorHAnsi"/>
                <w:lang w:val="fr-FR"/>
              </w:rPr>
              <w:t xml:space="preserve"> les </w:t>
            </w:r>
            <w:r w:rsidRPr="00B13ABC">
              <w:rPr>
                <w:rFonts w:asciiTheme="majorHAnsi" w:hAnsiTheme="majorHAnsi" w:cstheme="minorHAnsi"/>
                <w:lang w:val="fr-FR"/>
              </w:rPr>
              <w:t>intégrant dans les cadres de suivi</w:t>
            </w:r>
            <w:r w:rsidR="00224C13" w:rsidRPr="00B13ABC">
              <w:rPr>
                <w:rFonts w:asciiTheme="majorHAnsi" w:hAnsiTheme="majorHAnsi" w:cstheme="minorHAnsi"/>
                <w:lang w:val="fr-CH"/>
              </w:rPr>
              <w:t xml:space="preserve">. </w:t>
            </w:r>
          </w:p>
          <w:p w14:paraId="41252A74" w14:textId="1AA646C7" w:rsidR="00224C13" w:rsidRPr="00B13ABC" w:rsidRDefault="00A112E8" w:rsidP="00581C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theme="minorHAnsi"/>
                <w:lang w:val="fr-CH"/>
              </w:rPr>
            </w:pP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Assurer </w:t>
            </w:r>
            <w:r w:rsidRPr="00B13ABC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une</w:t>
            </w:r>
            <w:r w:rsidRPr="00B13ABC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planification de l'intervention</w:t>
            </w:r>
            <w:r w:rsidRPr="00B13ABC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structurée et</w:t>
            </w:r>
            <w:r w:rsidRPr="00B13ABC">
              <w:rPr>
                <w:rFonts w:asciiTheme="majorHAnsi" w:hAnsiTheme="majorHAnsi" w:cs="Arial"/>
                <w:b/>
                <w:color w:val="222222"/>
                <w:lang w:val="fr-FR"/>
              </w:rPr>
              <w:t xml:space="preserve"> un </w:t>
            </w:r>
            <w:r w:rsidRPr="00B13ABC">
              <w:rPr>
                <w:rStyle w:val="hps"/>
                <w:rFonts w:asciiTheme="majorHAnsi" w:hAnsiTheme="majorHAnsi" w:cs="Arial"/>
                <w:b/>
                <w:color w:val="222222"/>
                <w:lang w:val="fr-FR"/>
              </w:rPr>
              <w:t>processus d'examen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qui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expose clairement les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problèmes à résoudre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 les objectifs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et les normes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nécessaires pour y remédier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,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avec des indicateurs clés</w:t>
            </w:r>
            <w:r w:rsidRPr="00B13ABC">
              <w:rPr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="00581C86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permettant de</w:t>
            </w:r>
            <w:r w:rsidR="00581C86"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 xml:space="preserve"> </w:t>
            </w:r>
            <w:r w:rsidRPr="00B13ABC">
              <w:rPr>
                <w:rStyle w:val="hps"/>
                <w:rFonts w:asciiTheme="majorHAnsi" w:hAnsiTheme="majorHAnsi" w:cs="Arial"/>
                <w:color w:val="222222"/>
                <w:lang w:val="fr-FR"/>
              </w:rPr>
              <w:t>mesurer les progrès</w:t>
            </w:r>
            <w:r w:rsidR="00224C13" w:rsidRPr="00B13ABC">
              <w:rPr>
                <w:rFonts w:asciiTheme="majorHAnsi" w:eastAsiaTheme="minorHAnsi" w:hAnsiTheme="majorHAnsi" w:cstheme="minorHAnsi"/>
                <w:lang w:val="fr-CH"/>
              </w:rPr>
              <w:t>.</w:t>
            </w:r>
          </w:p>
        </w:tc>
      </w:tr>
    </w:tbl>
    <w:p w14:paraId="5E1CF7FC" w14:textId="77777777" w:rsidR="000E67F6" w:rsidRPr="00A112E8" w:rsidRDefault="000E67F6">
      <w:pPr>
        <w:rPr>
          <w:lang w:val="fr-CH"/>
        </w:rPr>
      </w:pPr>
    </w:p>
    <w:sectPr w:rsidR="000E67F6" w:rsidRPr="00A11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4986"/>
    <w:multiLevelType w:val="hybridMultilevel"/>
    <w:tmpl w:val="4C84D00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465900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34A2F"/>
    <w:multiLevelType w:val="hybridMultilevel"/>
    <w:tmpl w:val="4DECDE78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13"/>
    <w:rsid w:val="000E67F6"/>
    <w:rsid w:val="00224C13"/>
    <w:rsid w:val="00284BE5"/>
    <w:rsid w:val="00306598"/>
    <w:rsid w:val="00353BD3"/>
    <w:rsid w:val="003B4C01"/>
    <w:rsid w:val="003E3785"/>
    <w:rsid w:val="004E2771"/>
    <w:rsid w:val="00581C86"/>
    <w:rsid w:val="007023AB"/>
    <w:rsid w:val="0081376B"/>
    <w:rsid w:val="00A00973"/>
    <w:rsid w:val="00A112E8"/>
    <w:rsid w:val="00B13ABC"/>
    <w:rsid w:val="00B24FC1"/>
    <w:rsid w:val="00D63B2C"/>
    <w:rsid w:val="00F24DF0"/>
    <w:rsid w:val="00F322B3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2794E"/>
  <w15:docId w15:val="{791E82F9-F7E2-480D-951D-1BCFB885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1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C13"/>
    <w:pPr>
      <w:ind w:left="720"/>
      <w:contextualSpacing/>
    </w:pPr>
  </w:style>
  <w:style w:type="character" w:customStyle="1" w:styleId="hps">
    <w:name w:val="hps"/>
    <w:basedOn w:val="DefaultParagraphFont"/>
    <w:rsid w:val="00284BE5"/>
  </w:style>
  <w:style w:type="paragraph" w:styleId="BalloonText">
    <w:name w:val="Balloon Text"/>
    <w:basedOn w:val="Normal"/>
    <w:link w:val="BalloonTextChar"/>
    <w:uiPriority w:val="99"/>
    <w:semiHidden/>
    <w:unhideWhenUsed/>
    <w:rsid w:val="00581C8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86"/>
    <w:rPr>
      <w:rFonts w:ascii="Lucida Grande" w:eastAsia="Calibri" w:hAnsi="Lucida Grande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65BAC0-2411-4E58-9B89-5E7BF2A8FBA7}"/>
</file>

<file path=customXml/itemProps2.xml><?xml version="1.0" encoding="utf-8"?>
<ds:datastoreItem xmlns:ds="http://schemas.openxmlformats.org/officeDocument/2006/customXml" ds:itemID="{2CE2144B-1F2F-4505-9F80-6F617D311D2B}"/>
</file>

<file path=customXml/itemProps3.xml><?xml version="1.0" encoding="utf-8"?>
<ds:datastoreItem xmlns:ds="http://schemas.openxmlformats.org/officeDocument/2006/customXml" ds:itemID="{10AD74E9-BBCB-4720-ACC9-91DEA59B1AA6}"/>
</file>

<file path=customXml/itemProps4.xml><?xml version="1.0" encoding="utf-8"?>
<ds:datastoreItem xmlns:ds="http://schemas.openxmlformats.org/officeDocument/2006/customXml" ds:itemID="{9E635AF7-A72F-4B08-8EA2-3EAD6202982C}"/>
</file>

<file path=customXml/itemProps5.xml><?xml version="1.0" encoding="utf-8"?>
<ds:datastoreItem xmlns:ds="http://schemas.openxmlformats.org/officeDocument/2006/customXml" ds:itemID="{33FD8662-D223-40B9-9429-A1213782A070}"/>
</file>

<file path=customXml/itemProps6.xml><?xml version="1.0" encoding="utf-8"?>
<ds:datastoreItem xmlns:ds="http://schemas.openxmlformats.org/officeDocument/2006/customXml" ds:itemID="{74C5B129-5FA5-4E28-B1C2-E79B4F080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Joseph Shawyer</cp:lastModifiedBy>
  <cp:revision>3</cp:revision>
  <dcterms:created xsi:type="dcterms:W3CDTF">2016-02-18T22:49:00Z</dcterms:created>
  <dcterms:modified xsi:type="dcterms:W3CDTF">2016-02-22T13:44:00Z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