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456E" w14:textId="77777777" w:rsidR="00AD2A8D" w:rsidRPr="004351AB" w:rsidRDefault="00AD2A8D" w:rsidP="00AD2A8D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 w:rsidR="00334F4F">
        <w:rPr>
          <w:rFonts w:ascii="Arial" w:hAnsi="Arial" w:cs="Arial"/>
          <w:b/>
          <w:sz w:val="24"/>
          <w:lang w:val="en-GB"/>
        </w:rPr>
        <w:t>Finding and telling stories in the data</w:t>
      </w:r>
    </w:p>
    <w:tbl>
      <w:tblPr>
        <w:tblStyle w:val="Grilledutableau1"/>
        <w:tblW w:w="524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363"/>
        <w:gridCol w:w="141"/>
      </w:tblGrid>
      <w:tr w:rsidR="00DC71C8" w:rsidRPr="00DC71C8" w14:paraId="1F084574" w14:textId="77777777" w:rsidTr="00334F4F">
        <w:trPr>
          <w:gridAfter w:val="1"/>
          <w:wAfter w:w="141" w:type="dxa"/>
        </w:trPr>
        <w:tc>
          <w:tcPr>
            <w:tcW w:w="1560" w:type="dxa"/>
            <w:tcBorders>
              <w:bottom w:val="single" w:sz="8" w:space="0" w:color="A6A6A6" w:themeColor="background1" w:themeShade="A6"/>
            </w:tcBorders>
          </w:tcPr>
          <w:p w14:paraId="1F08456F" w14:textId="77777777" w:rsidR="00514704" w:rsidRPr="00514704" w:rsidRDefault="00514704" w:rsidP="00DC71C8">
            <w:pPr>
              <w:rPr>
                <w:rFonts w:ascii="Arial" w:hAnsi="Arial" w:cs="Arial"/>
                <w:b/>
                <w:lang w:val="en-GB"/>
              </w:rPr>
            </w:pPr>
          </w:p>
          <w:p w14:paraId="1F084570" w14:textId="77777777" w:rsidR="00DC71C8" w:rsidRPr="00DC71C8" w:rsidRDefault="00DC71C8" w:rsidP="00DC71C8">
            <w:pPr>
              <w:rPr>
                <w:rFonts w:ascii="Arial" w:hAnsi="Arial" w:cs="Arial"/>
                <w:b/>
              </w:rPr>
            </w:pPr>
            <w:proofErr w:type="spellStart"/>
            <w:r w:rsidRPr="00DC71C8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283" w:type="dxa"/>
          </w:tcPr>
          <w:p w14:paraId="1F084571" w14:textId="77777777" w:rsidR="00DC71C8" w:rsidRPr="00DC71C8" w:rsidRDefault="00DC71C8" w:rsidP="00DC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bottom w:val="single" w:sz="8" w:space="0" w:color="A6A6A6" w:themeColor="background1" w:themeShade="A6"/>
            </w:tcBorders>
          </w:tcPr>
          <w:p w14:paraId="1F084572" w14:textId="77777777" w:rsidR="00514704" w:rsidRDefault="00514704" w:rsidP="00DC71C8">
            <w:pPr>
              <w:rPr>
                <w:rFonts w:ascii="Arial" w:hAnsi="Arial" w:cs="Arial"/>
                <w:b/>
              </w:rPr>
            </w:pPr>
          </w:p>
          <w:p w14:paraId="1F084573" w14:textId="77777777" w:rsidR="00DC71C8" w:rsidRPr="00DC71C8" w:rsidRDefault="00DC71C8" w:rsidP="00DC71C8">
            <w:pPr>
              <w:rPr>
                <w:rFonts w:ascii="Arial" w:hAnsi="Arial" w:cs="Arial"/>
                <w:b/>
              </w:rPr>
            </w:pPr>
            <w:r w:rsidRPr="00DC71C8">
              <w:rPr>
                <w:rFonts w:ascii="Arial" w:hAnsi="Arial" w:cs="Arial"/>
                <w:b/>
              </w:rPr>
              <w:t>Instructions</w:t>
            </w:r>
          </w:p>
        </w:tc>
      </w:tr>
      <w:tr w:rsidR="00DC71C8" w:rsidRPr="00FE2EF6" w14:paraId="1F084578" w14:textId="77777777" w:rsidTr="00334F4F">
        <w:trPr>
          <w:gridAfter w:val="1"/>
          <w:wAfter w:w="141" w:type="dxa"/>
        </w:trPr>
        <w:tc>
          <w:tcPr>
            <w:tcW w:w="1560" w:type="dxa"/>
            <w:tcBorders>
              <w:top w:val="single" w:sz="8" w:space="0" w:color="A6A6A6" w:themeColor="background1" w:themeShade="A6"/>
              <w:bottom w:val="single" w:sz="4" w:space="0" w:color="FFFFFF" w:themeColor="background1"/>
            </w:tcBorders>
          </w:tcPr>
          <w:p w14:paraId="1F084575" w14:textId="77777777" w:rsidR="00DC71C8" w:rsidRPr="00DC71C8" w:rsidRDefault="00DC71C8" w:rsidP="00DC71C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1F084576" w14:textId="77777777" w:rsidR="00DC71C8" w:rsidRPr="00DC71C8" w:rsidRDefault="00DC71C8" w:rsidP="00DC71C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A6A6A6" w:themeColor="background1" w:themeShade="A6"/>
              <w:bottom w:val="single" w:sz="4" w:space="0" w:color="FFFFFF" w:themeColor="background1"/>
            </w:tcBorders>
          </w:tcPr>
          <w:p w14:paraId="1F084577" w14:textId="77777777" w:rsidR="00FE664B" w:rsidRPr="00DC71C8" w:rsidRDefault="00FE664B" w:rsidP="00784211">
            <w:pPr>
              <w:ind w:left="-9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44020" w:rsidRPr="00A035F1" w14:paraId="1F084583" w14:textId="77777777" w:rsidTr="00334F4F">
        <w:tc>
          <w:tcPr>
            <w:tcW w:w="1560" w:type="dxa"/>
          </w:tcPr>
          <w:p w14:paraId="1F084579" w14:textId="77777777" w:rsidR="00944020" w:rsidRPr="00DC71C8" w:rsidRDefault="00F23252" w:rsidP="00C470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Find the story hidden in the data</w:t>
            </w:r>
          </w:p>
        </w:tc>
        <w:tc>
          <w:tcPr>
            <w:tcW w:w="283" w:type="dxa"/>
          </w:tcPr>
          <w:p w14:paraId="1F08457A" w14:textId="77777777" w:rsidR="00944020" w:rsidRPr="00F23252" w:rsidRDefault="00944020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504" w:type="dxa"/>
            <w:gridSpan w:val="2"/>
          </w:tcPr>
          <w:p w14:paraId="1F08457B" w14:textId="77777777" w:rsidR="00944020" w:rsidRPr="003324DB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3324DB">
              <w:rPr>
                <w:rFonts w:ascii="Arial" w:hAnsi="Arial" w:cs="Arial"/>
                <w:lang w:val="en-GB"/>
              </w:rPr>
              <w:t>Use in</w:t>
            </w:r>
            <w:r w:rsidR="00C47049">
              <w:rPr>
                <w:rFonts w:ascii="Arial" w:hAnsi="Arial" w:cs="Arial"/>
                <w:lang w:val="en-GB"/>
              </w:rPr>
              <w:t xml:space="preserve">ductive or deductive reasoning and </w:t>
            </w:r>
            <w:r w:rsidRPr="003324DB">
              <w:rPr>
                <w:rFonts w:ascii="Arial" w:hAnsi="Arial" w:cs="Arial"/>
                <w:lang w:val="en-GB"/>
              </w:rPr>
              <w:t>undertake visual analysis to start interpretation/identification of potential data stories.</w:t>
            </w:r>
          </w:p>
          <w:p w14:paraId="1F08457C" w14:textId="77777777"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Use comparisons: categorical and proportions, ranking, values, range and distribution, context, hierarchies, etc.</w:t>
            </w:r>
          </w:p>
          <w:p w14:paraId="1F08457D" w14:textId="77777777"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Find trends: up and down vs. flat,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 xml:space="preserve"> linear vs. exponential, steady vs. fluctuating, seasonal vs. random, change rate vs. steepness, etc.</w:t>
            </w:r>
          </w:p>
          <w:p w14:paraId="1F08457E" w14:textId="77777777"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Find </w:t>
            </w:r>
            <w:r w:rsidR="00C47049">
              <w:rPr>
                <w:rFonts w:ascii="Arial" w:hAnsi="Arial" w:cs="Arial"/>
                <w:lang w:val="en-GB"/>
              </w:rPr>
              <w:t>patterns, or lack of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="00C47049">
              <w:rPr>
                <w:rFonts w:ascii="Arial" w:hAnsi="Arial" w:cs="Arial"/>
                <w:lang w:val="en-GB"/>
              </w:rPr>
              <w:t xml:space="preserve">Exceptions, </w:t>
            </w:r>
            <w:r>
              <w:rPr>
                <w:rFonts w:ascii="Arial" w:hAnsi="Arial" w:cs="Arial"/>
                <w:lang w:val="en-GB"/>
              </w:rPr>
              <w:t>outliers, intersections, correlation, connection, clusters, associations, gaps, etc.</w:t>
            </w:r>
          </w:p>
          <w:p w14:paraId="1F08457F" w14:textId="77777777" w:rsidR="00F23252" w:rsidRPr="00F9643F" w:rsidRDefault="00F23252" w:rsidP="00F23252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9643F">
              <w:rPr>
                <w:rFonts w:ascii="Arial" w:hAnsi="Arial" w:cs="Arial"/>
                <w:lang w:val="en-GB"/>
              </w:rPr>
              <w:t xml:space="preserve">Pick an indicator and ask: What is the level and the rate of change for the considered area? How do different subgroups/regions etc differ? What is driving the change? How much </w:t>
            </w:r>
            <w:r w:rsidR="00C47049" w:rsidRPr="00F9643F">
              <w:rPr>
                <w:rFonts w:ascii="Arial" w:hAnsi="Arial" w:cs="Arial"/>
                <w:lang w:val="en-GB"/>
              </w:rPr>
              <w:t>changes</w:t>
            </w:r>
            <w:r w:rsidRPr="00F9643F">
              <w:rPr>
                <w:rFonts w:ascii="Arial" w:hAnsi="Arial" w:cs="Arial"/>
                <w:lang w:val="en-GB"/>
              </w:rPr>
              <w:t xml:space="preserve"> affect other aspects of life?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9643F">
              <w:rPr>
                <w:rFonts w:ascii="Arial" w:hAnsi="Arial" w:cs="Arial"/>
                <w:lang w:val="en-GB"/>
              </w:rPr>
              <w:t>How does this compare with other countries?</w:t>
            </w:r>
          </w:p>
          <w:p w14:paraId="1F084580" w14:textId="77777777"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Define the storyline that readers would value from the visualization and what stories you wish to tell with what you are showing. </w:t>
            </w:r>
          </w:p>
          <w:p w14:paraId="1F084581" w14:textId="77777777"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Finding stories is using visualization techniques to familiarise, learn about and discover insights from data. </w:t>
            </w:r>
          </w:p>
          <w:p w14:paraId="1F084582" w14:textId="77777777" w:rsidR="00944020" w:rsidRPr="00DC71C8" w:rsidRDefault="00944020" w:rsidP="00F23252">
            <w:pPr>
              <w:pStyle w:val="ListParagraph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23252" w:rsidRPr="00A035F1" w14:paraId="1F08458D" w14:textId="77777777" w:rsidTr="00334F4F">
        <w:trPr>
          <w:gridAfter w:val="1"/>
          <w:wAfter w:w="141" w:type="dxa"/>
        </w:trPr>
        <w:tc>
          <w:tcPr>
            <w:tcW w:w="1560" w:type="dxa"/>
          </w:tcPr>
          <w:p w14:paraId="1F084584" w14:textId="77777777" w:rsidR="00F23252" w:rsidRDefault="00F23252" w:rsidP="00F232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the story</w:t>
            </w:r>
          </w:p>
        </w:tc>
        <w:tc>
          <w:tcPr>
            <w:tcW w:w="283" w:type="dxa"/>
          </w:tcPr>
          <w:p w14:paraId="1F084585" w14:textId="77777777" w:rsidR="00F23252" w:rsidRPr="00F23252" w:rsidRDefault="00F23252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363" w:type="dxa"/>
          </w:tcPr>
          <w:p w14:paraId="1F084586" w14:textId="77777777"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 xml:space="preserve">Scientists start with details and build to a conclusion. Journalists start with the conclusion, and then give supporting details. Be like a journalist! </w:t>
            </w:r>
          </w:p>
          <w:p w14:paraId="1F084587" w14:textId="77777777"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 xml:space="preserve">Identify and present only key results, not details. </w:t>
            </w:r>
          </w:p>
          <w:p w14:paraId="1F084588" w14:textId="77777777"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>Focus on what the numbers really mean for your audience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1F084589" w14:textId="77777777" w:rsidR="00F23252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F084598" wp14:editId="1F084599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-589915</wp:posOffset>
                  </wp:positionV>
                  <wp:extent cx="3056890" cy="218122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1C8">
              <w:rPr>
                <w:rFonts w:ascii="Arial" w:hAnsi="Arial" w:cs="Arial"/>
                <w:lang w:val="en-GB"/>
              </w:rPr>
              <w:t>Users need explanations, interpretation and comments. Reveal the unexpected, the relevant, the truth behind the data</w:t>
            </w:r>
            <w:r>
              <w:rPr>
                <w:rFonts w:ascii="Arial" w:hAnsi="Arial" w:cs="Arial"/>
                <w:lang w:val="en-GB"/>
              </w:rPr>
              <w:t>. Guide users along the journey to find their answers</w:t>
            </w:r>
            <w:r w:rsidR="00C47049">
              <w:rPr>
                <w:rFonts w:ascii="Arial" w:hAnsi="Arial" w:cs="Arial"/>
                <w:lang w:val="en-GB"/>
              </w:rPr>
              <w:t>.</w:t>
            </w:r>
          </w:p>
          <w:p w14:paraId="1F08458A" w14:textId="77777777" w:rsidR="00F23252" w:rsidRDefault="00F23252" w:rsidP="00F23252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CC73D8">
              <w:rPr>
                <w:rFonts w:ascii="Arial" w:hAnsi="Arial" w:cs="Arial"/>
                <w:lang w:val="en-GB"/>
              </w:rPr>
              <w:t>Don’t confuse what’s countable with what really counts: Many of the most important things in life can’t be quantified, so don’t focus just on the numbers– they aren’t everything.</w:t>
            </w:r>
          </w:p>
          <w:p w14:paraId="1F08458B" w14:textId="77777777" w:rsidR="00334F4F" w:rsidRDefault="00334F4F" w:rsidP="00334F4F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 the characteristics of message that stuck: Simple, unexpected, credible, concrete, emotional</w:t>
            </w:r>
            <w:r w:rsidR="00A035F1">
              <w:rPr>
                <w:rFonts w:ascii="Arial" w:hAnsi="Arial" w:cs="Arial"/>
                <w:lang w:val="en-GB"/>
              </w:rPr>
              <w:t xml:space="preserve"> and story-based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1F08458C" w14:textId="77777777" w:rsidR="00F23252" w:rsidRPr="00DC71C8" w:rsidRDefault="00334F4F" w:rsidP="00334F4F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Telling stories is identifying and caring for the reader, taking responsibility to maximise their potential insight.</w:t>
            </w:r>
            <w:r w:rsidR="00A035F1">
              <w:rPr>
                <w:rFonts w:ascii="Arial" w:hAnsi="Arial" w:cs="Arial"/>
                <w:lang w:val="en-GB"/>
              </w:rPr>
              <w:t xml:space="preserve"> Effective statistical narratives are simple, seamless, informative, true, contextual, familiar, concrete, personal, emotional, actionable and sequential</w:t>
            </w:r>
          </w:p>
        </w:tc>
      </w:tr>
      <w:tr w:rsidR="00F23252" w:rsidRPr="00A035F1" w14:paraId="1F084591" w14:textId="77777777" w:rsidTr="00334F4F">
        <w:trPr>
          <w:gridAfter w:val="1"/>
          <w:wAfter w:w="141" w:type="dxa"/>
        </w:trPr>
        <w:tc>
          <w:tcPr>
            <w:tcW w:w="1560" w:type="dxa"/>
          </w:tcPr>
          <w:p w14:paraId="1F08458E" w14:textId="77777777" w:rsidR="00F23252" w:rsidRDefault="00F23252" w:rsidP="00F2325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14:paraId="1F08458F" w14:textId="77777777" w:rsidR="00F23252" w:rsidRPr="00F23252" w:rsidRDefault="00F23252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363" w:type="dxa"/>
          </w:tcPr>
          <w:p w14:paraId="1F084590" w14:textId="77777777" w:rsidR="00F23252" w:rsidRPr="00DC71C8" w:rsidRDefault="00F23252" w:rsidP="003324DB">
            <w:pPr>
              <w:ind w:left="-108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F084592" w14:textId="77777777" w:rsidR="004C76E4" w:rsidRDefault="004C76E4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14:paraId="1F084593" w14:textId="77777777" w:rsidR="00A035F1" w:rsidRDefault="00A035F1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14:paraId="1F084594" w14:textId="77777777" w:rsidR="00A035F1" w:rsidRDefault="00A035F1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14:paraId="1F084595" w14:textId="77777777" w:rsidR="00A035F1" w:rsidRDefault="00A035F1" w:rsidP="00A035F1">
      <w:pPr>
        <w:pStyle w:val="Default"/>
        <w:rPr>
          <w:bCs/>
          <w:sz w:val="20"/>
          <w:szCs w:val="20"/>
          <w:lang w:val="en-GB"/>
        </w:rPr>
      </w:pPr>
      <w:r w:rsidRPr="00A035F1">
        <w:rPr>
          <w:sz w:val="20"/>
          <w:szCs w:val="20"/>
          <w:lang w:val="en-GB"/>
        </w:rPr>
        <w:t xml:space="preserve">Few 2009, </w:t>
      </w:r>
      <w:hyperlink r:id="rId14" w:history="1">
        <w:r w:rsidRPr="00A035F1">
          <w:rPr>
            <w:rStyle w:val="Hyperlink"/>
            <w:bCs/>
            <w:sz w:val="20"/>
            <w:szCs w:val="20"/>
            <w:lang w:val="en-GB"/>
          </w:rPr>
          <w:t>Statistical Narrative. Telling Compelling Stories with Numbers</w:t>
        </w:r>
      </w:hyperlink>
    </w:p>
    <w:p w14:paraId="1F084596" w14:textId="77777777" w:rsidR="00A035F1" w:rsidRPr="0080733F" w:rsidRDefault="00A035F1" w:rsidP="00A035F1">
      <w:pPr>
        <w:pStyle w:val="Default"/>
        <w:rPr>
          <w:rStyle w:val="Hyperlink"/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Jo</w:t>
      </w:r>
      <w:r w:rsidR="0080733F">
        <w:rPr>
          <w:bCs/>
          <w:sz w:val="20"/>
          <w:szCs w:val="20"/>
          <w:lang w:val="en-GB"/>
        </w:rPr>
        <w:t>n</w:t>
      </w:r>
      <w:r>
        <w:rPr>
          <w:bCs/>
          <w:sz w:val="20"/>
          <w:szCs w:val="20"/>
          <w:lang w:val="en-GB"/>
        </w:rPr>
        <w:t xml:space="preserve">athan G. </w:t>
      </w:r>
      <w:proofErr w:type="spellStart"/>
      <w:r>
        <w:rPr>
          <w:bCs/>
          <w:sz w:val="20"/>
          <w:szCs w:val="20"/>
          <w:lang w:val="en-GB"/>
        </w:rPr>
        <w:t>Koomey</w:t>
      </w:r>
      <w:proofErr w:type="spellEnd"/>
      <w:r>
        <w:rPr>
          <w:bCs/>
          <w:sz w:val="20"/>
          <w:szCs w:val="20"/>
          <w:lang w:val="en-GB"/>
        </w:rPr>
        <w:t>. 2006</w:t>
      </w:r>
      <w:r w:rsidR="0080733F">
        <w:rPr>
          <w:bCs/>
          <w:sz w:val="20"/>
          <w:szCs w:val="20"/>
          <w:lang w:val="en-GB"/>
        </w:rPr>
        <w:fldChar w:fldCharType="begin"/>
      </w:r>
      <w:r w:rsidR="0080733F">
        <w:rPr>
          <w:bCs/>
          <w:sz w:val="20"/>
          <w:szCs w:val="20"/>
          <w:lang w:val="en-GB"/>
        </w:rPr>
        <w:instrText xml:space="preserve"> HYPERLINK "http://www.perceptualedge.com/articles/b-eye/quantitative_data.pdf" </w:instrText>
      </w:r>
      <w:r w:rsidR="0080733F">
        <w:rPr>
          <w:bCs/>
          <w:sz w:val="20"/>
          <w:szCs w:val="20"/>
          <w:lang w:val="en-GB"/>
        </w:rPr>
        <w:fldChar w:fldCharType="separate"/>
      </w:r>
      <w:r w:rsidRPr="0080733F">
        <w:rPr>
          <w:rStyle w:val="Hyperlink"/>
          <w:bCs/>
          <w:sz w:val="20"/>
          <w:szCs w:val="20"/>
          <w:lang w:val="en-GB"/>
        </w:rPr>
        <w:t>. Best practices for understanding quantitative data</w:t>
      </w:r>
    </w:p>
    <w:p w14:paraId="1F084597" w14:textId="77777777" w:rsidR="00A035F1" w:rsidRPr="00A035F1" w:rsidRDefault="0080733F" w:rsidP="00A035F1">
      <w:pPr>
        <w:pStyle w:val="Default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fldChar w:fldCharType="end"/>
      </w:r>
      <w:r w:rsidRPr="0080733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Jonathan G. </w:t>
      </w:r>
      <w:proofErr w:type="spellStart"/>
      <w:r>
        <w:rPr>
          <w:bCs/>
          <w:sz w:val="20"/>
          <w:szCs w:val="20"/>
          <w:lang w:val="en-GB"/>
        </w:rPr>
        <w:t>Koomey</w:t>
      </w:r>
      <w:proofErr w:type="spellEnd"/>
      <w:r>
        <w:rPr>
          <w:bCs/>
          <w:sz w:val="20"/>
          <w:szCs w:val="20"/>
          <w:lang w:val="en-GB"/>
        </w:rPr>
        <w:t xml:space="preserve">. 2004. </w:t>
      </w:r>
      <w:hyperlink r:id="rId15" w:history="1">
        <w:r w:rsidRPr="0080733F">
          <w:rPr>
            <w:rStyle w:val="Hyperlink"/>
            <w:bCs/>
            <w:sz w:val="20"/>
            <w:szCs w:val="20"/>
            <w:lang w:val="en-GB"/>
          </w:rPr>
          <w:t>Practical problem solving: A beginner’s guide</w:t>
        </w:r>
      </w:hyperlink>
    </w:p>
    <w:sectPr w:rsidR="00A035F1" w:rsidRPr="00A035F1" w:rsidSect="00B94AA6">
      <w:headerReference w:type="default" r:id="rId16"/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459C" w14:textId="77777777" w:rsidR="00007DD9" w:rsidRDefault="00007DD9" w:rsidP="002E6FB7">
      <w:pPr>
        <w:spacing w:after="0" w:line="240" w:lineRule="auto"/>
      </w:pPr>
      <w:r>
        <w:separator/>
      </w:r>
    </w:p>
  </w:endnote>
  <w:endnote w:type="continuationSeparator" w:id="0">
    <w:p w14:paraId="1F08459D" w14:textId="77777777" w:rsidR="00007DD9" w:rsidRDefault="00007DD9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459A" w14:textId="77777777" w:rsidR="00007DD9" w:rsidRDefault="00007DD9" w:rsidP="002E6FB7">
      <w:pPr>
        <w:spacing w:after="0" w:line="240" w:lineRule="auto"/>
      </w:pPr>
      <w:r>
        <w:separator/>
      </w:r>
    </w:p>
  </w:footnote>
  <w:footnote w:type="continuationSeparator" w:id="0">
    <w:p w14:paraId="1F08459B" w14:textId="77777777" w:rsidR="00007DD9" w:rsidRDefault="00007DD9" w:rsidP="002E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AF99" w14:textId="76A8D99F" w:rsidR="000D0AB3" w:rsidRPr="000D0AB3" w:rsidRDefault="000D0AB3" w:rsidP="000D0AB3">
    <w:pPr>
      <w:pStyle w:val="Header"/>
      <w:jc w:val="right"/>
    </w:pPr>
    <w:r w:rsidRPr="000D0AB3">
      <w:drawing>
        <wp:inline distT="0" distB="0" distL="0" distR="0" wp14:anchorId="46B1B088" wp14:editId="29CE3058">
          <wp:extent cx="922516" cy="328006"/>
          <wp:effectExtent l="0" t="0" r="0" b="0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43"/>
    <w:rsid w:val="00007DD9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D02A6"/>
    <w:rsid w:val="000D0AB3"/>
    <w:rsid w:val="000E11FD"/>
    <w:rsid w:val="00126F6B"/>
    <w:rsid w:val="00162AFF"/>
    <w:rsid w:val="00163476"/>
    <w:rsid w:val="00170E68"/>
    <w:rsid w:val="001758FC"/>
    <w:rsid w:val="001A1B1F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34F4F"/>
    <w:rsid w:val="00340F4C"/>
    <w:rsid w:val="003427BC"/>
    <w:rsid w:val="003553E7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A6D69"/>
    <w:rsid w:val="004C74D0"/>
    <w:rsid w:val="004C76E4"/>
    <w:rsid w:val="004D4CC0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C5246"/>
    <w:rsid w:val="005F0D3A"/>
    <w:rsid w:val="005F6849"/>
    <w:rsid w:val="00636678"/>
    <w:rsid w:val="00636E7B"/>
    <w:rsid w:val="006429C1"/>
    <w:rsid w:val="00647FFE"/>
    <w:rsid w:val="006503D6"/>
    <w:rsid w:val="00657053"/>
    <w:rsid w:val="00667CB8"/>
    <w:rsid w:val="00671F94"/>
    <w:rsid w:val="006A0683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2350"/>
    <w:rsid w:val="007C7DC2"/>
    <w:rsid w:val="007E67FB"/>
    <w:rsid w:val="0080733F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1284D"/>
    <w:rsid w:val="00932909"/>
    <w:rsid w:val="00941F57"/>
    <w:rsid w:val="00944020"/>
    <w:rsid w:val="009559AA"/>
    <w:rsid w:val="00956AC1"/>
    <w:rsid w:val="009662D3"/>
    <w:rsid w:val="00982B60"/>
    <w:rsid w:val="0099086D"/>
    <w:rsid w:val="009B51F7"/>
    <w:rsid w:val="009D0AD3"/>
    <w:rsid w:val="009F0285"/>
    <w:rsid w:val="00A035F1"/>
    <w:rsid w:val="00A14753"/>
    <w:rsid w:val="00A920C8"/>
    <w:rsid w:val="00A95DE4"/>
    <w:rsid w:val="00AA1140"/>
    <w:rsid w:val="00AA5182"/>
    <w:rsid w:val="00AB09BC"/>
    <w:rsid w:val="00AC6E63"/>
    <w:rsid w:val="00AD2A8D"/>
    <w:rsid w:val="00AE2CA0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47049"/>
    <w:rsid w:val="00C667C8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61559"/>
    <w:rsid w:val="00D806EB"/>
    <w:rsid w:val="00D9451A"/>
    <w:rsid w:val="00DA1405"/>
    <w:rsid w:val="00DC71C8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252"/>
    <w:rsid w:val="00F23777"/>
    <w:rsid w:val="00F24CDD"/>
    <w:rsid w:val="00F3278B"/>
    <w:rsid w:val="00F32D53"/>
    <w:rsid w:val="00F350C3"/>
    <w:rsid w:val="00F40909"/>
    <w:rsid w:val="00F44602"/>
    <w:rsid w:val="00F46BDD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456E"/>
  <w15:docId w15:val="{58780E00-5216-488B-B7A2-EDA4E74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EC2C18"/>
  </w:style>
  <w:style w:type="character" w:customStyle="1" w:styleId="c1">
    <w:name w:val="c1"/>
    <w:basedOn w:val="DefaultParagraphFont"/>
    <w:rsid w:val="00EC2C18"/>
  </w:style>
  <w:style w:type="character" w:customStyle="1" w:styleId="c0">
    <w:name w:val="c0"/>
    <w:basedOn w:val="DefaultParagraphFont"/>
    <w:rsid w:val="00EC2C18"/>
  </w:style>
  <w:style w:type="paragraph" w:styleId="Header">
    <w:name w:val="header"/>
    <w:basedOn w:val="Normal"/>
    <w:link w:val="Head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7"/>
  </w:style>
  <w:style w:type="paragraph" w:styleId="Footer">
    <w:name w:val="footer"/>
    <w:basedOn w:val="Normal"/>
    <w:link w:val="Foot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7"/>
  </w:style>
  <w:style w:type="character" w:customStyle="1" w:styleId="Heading3Char">
    <w:name w:val="Heading 3 Char"/>
    <w:basedOn w:val="DefaultParagraphFont"/>
    <w:link w:val="Heading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D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erceptualedge.com/images/PracticalProblemSolving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erceptualedge.com/articles/visual_business_intelligence/statistical_narrativ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training - Additional reading - APR visualization guidance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EMOPSGCCU-1435067120-17760</_dlc_DocId>
    <_dlc_DocIdUrl xmlns="5858627f-d058-4b92-9b52-677b5fd7d454">
      <Url>https://unicef.sharepoint.com/teams/EMOPS-GCCU/_layouts/15/DocIdRedir.aspx?ID=EMOPSGCCU-1435067120-17760</Url>
      <Description>EMOPSGCCU-1435067120-17760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977BB1-4562-4C76-B451-24656D907C96}">
  <ds:schemaRefs>
    <ds:schemaRef ds:uri="http://purl.org/dc/terms/"/>
    <ds:schemaRef ds:uri="a438dd15-07ca-4cdc-82a3-f2206b92025e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.v3"/>
    <ds:schemaRef ds:uri="http://purl.org/dc/elements/1.1/"/>
    <ds:schemaRef ds:uri="http://www.w3.org/XML/1998/namespace"/>
    <ds:schemaRef ds:uri="5858627f-d058-4b92-9b52-677b5fd7d454"/>
    <ds:schemaRef ds:uri="ca283e0b-db31-4043-a2ef-b80661bf08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F9E4B-B052-420C-96DA-479987C9D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C1C7B-0405-42BA-A590-B151EFB3970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C1B3D78-2A95-4EBF-8AF9-4DFAAB95DBA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F78D24-1091-4AD7-A386-D8ACF09F6B40}"/>
</file>

<file path=customXml/itemProps6.xml><?xml version="1.0" encoding="utf-8"?>
<ds:datastoreItem xmlns:ds="http://schemas.openxmlformats.org/officeDocument/2006/customXml" ds:itemID="{6E6EE6EC-9506-4FBC-97BC-15000A1395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GNC; IMO; Training</cp:keywords>
  <cp:lastModifiedBy>Diogo Loureiro Jurema</cp:lastModifiedBy>
  <cp:revision>6</cp:revision>
  <dcterms:created xsi:type="dcterms:W3CDTF">2012-11-30T12:20:00Z</dcterms:created>
  <dcterms:modified xsi:type="dcterms:W3CDTF">2019-11-12T10:47:00Z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35e72ea0-422a-45f6-9537-c4ffafa2994b</vt:lpwstr>
  </property>
</Properties>
</file>