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7423D" w14:textId="77777777" w:rsidR="00D4302A" w:rsidRPr="002B5BF8" w:rsidRDefault="0090343F">
      <w:pPr>
        <w:pStyle w:val="BodyText"/>
        <w:ind w:left="120"/>
        <w:rPr>
          <w:rFonts w:ascii="Times New Roman"/>
          <w:sz w:val="20"/>
          <w:lang w:val="fr-FR"/>
        </w:rPr>
      </w:pPr>
      <w:bookmarkStart w:id="0" w:name="_GoBack"/>
      <w:bookmarkEnd w:id="0"/>
      <w:r w:rsidRPr="002B5BF8">
        <w:rPr>
          <w:rFonts w:ascii="Times New Roman"/>
          <w:noProof/>
          <w:sz w:val="20"/>
        </w:rPr>
        <w:drawing>
          <wp:inline distT="0" distB="0" distL="0" distR="0" wp14:anchorId="08D649F0" wp14:editId="1FDF307D">
            <wp:extent cx="1225626" cy="51549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25626" cy="515493"/>
                    </a:xfrm>
                    <a:prstGeom prst="rect">
                      <a:avLst/>
                    </a:prstGeom>
                  </pic:spPr>
                </pic:pic>
              </a:graphicData>
            </a:graphic>
          </wp:inline>
        </w:drawing>
      </w:r>
    </w:p>
    <w:p w14:paraId="3E45240F" w14:textId="40767DD9" w:rsidR="00D4302A" w:rsidRPr="002B5BF8" w:rsidRDefault="00D76474">
      <w:pPr>
        <w:spacing w:after="3" w:line="328" w:lineRule="exact"/>
        <w:ind w:left="119"/>
        <w:rPr>
          <w:b/>
          <w:sz w:val="28"/>
          <w:lang w:val="fr-FR"/>
        </w:rPr>
      </w:pPr>
      <w:r>
        <w:rPr>
          <w:b/>
          <w:sz w:val="28"/>
          <w:lang w:val="fr-FR"/>
        </w:rPr>
        <w:t>É</w:t>
      </w:r>
      <w:r w:rsidR="001F37C1">
        <w:rPr>
          <w:b/>
          <w:sz w:val="28"/>
          <w:lang w:val="fr-FR"/>
        </w:rPr>
        <w:t>tapes à considérer</w:t>
      </w:r>
      <w:r w:rsidR="00EE3A45">
        <w:rPr>
          <w:b/>
          <w:sz w:val="28"/>
          <w:lang w:val="fr-FR"/>
        </w:rPr>
        <w:t xml:space="preserve"> pour </w:t>
      </w:r>
      <w:r w:rsidR="001F37C1">
        <w:rPr>
          <w:b/>
          <w:sz w:val="28"/>
          <w:lang w:val="fr-FR"/>
        </w:rPr>
        <w:t xml:space="preserve">mener à bien </w:t>
      </w:r>
      <w:r w:rsidR="00EE3A45">
        <w:rPr>
          <w:b/>
          <w:sz w:val="28"/>
          <w:lang w:val="fr-FR"/>
        </w:rPr>
        <w:t>l’estimation</w:t>
      </w:r>
      <w:r w:rsidR="00B645A6">
        <w:rPr>
          <w:b/>
          <w:sz w:val="28"/>
          <w:lang w:val="fr-FR"/>
        </w:rPr>
        <w:t xml:space="preserve"> des</w:t>
      </w:r>
      <w:r w:rsidR="00EE3A45">
        <w:rPr>
          <w:b/>
          <w:sz w:val="28"/>
          <w:lang w:val="fr-FR"/>
        </w:rPr>
        <w:t xml:space="preserve"> besoins en</w:t>
      </w:r>
      <w:r w:rsidR="0090343F" w:rsidRPr="002B5BF8">
        <w:rPr>
          <w:b/>
          <w:sz w:val="28"/>
          <w:lang w:val="fr-FR"/>
        </w:rPr>
        <w:t xml:space="preserve"> </w:t>
      </w:r>
      <w:r>
        <w:rPr>
          <w:b/>
          <w:sz w:val="28"/>
          <w:lang w:val="fr-FR"/>
        </w:rPr>
        <w:t>approvisionnement</w:t>
      </w:r>
      <w:r w:rsidR="0090343F" w:rsidRPr="002B5BF8">
        <w:rPr>
          <w:b/>
          <w:sz w:val="28"/>
          <w:lang w:val="fr-FR"/>
        </w:rPr>
        <w:t xml:space="preserve"> pour le Cluster Nutrition</w:t>
      </w: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13532"/>
      </w:tblGrid>
      <w:tr w:rsidR="00D4302A" w:rsidRPr="002B5BF8" w14:paraId="58D4B4DE" w14:textId="77777777" w:rsidTr="00EC1CB7">
        <w:trPr>
          <w:trHeight w:hRule="exact" w:val="624"/>
        </w:trPr>
        <w:tc>
          <w:tcPr>
            <w:tcW w:w="1885" w:type="dxa"/>
            <w:shd w:val="clear" w:color="auto" w:fill="D6E3BC"/>
          </w:tcPr>
          <w:p w14:paraId="7D851DB3" w14:textId="77777777" w:rsidR="00D4302A" w:rsidRPr="002B5BF8" w:rsidRDefault="0090343F">
            <w:pPr>
              <w:pStyle w:val="TableParagraph"/>
              <w:spacing w:before="238"/>
              <w:ind w:left="103" w:right="227"/>
              <w:rPr>
                <w:b/>
                <w:sz w:val="32"/>
                <w:lang w:val="fr-FR"/>
              </w:rPr>
            </w:pPr>
            <w:r w:rsidRPr="002B5BF8">
              <w:rPr>
                <w:b/>
                <w:sz w:val="32"/>
                <w:lang w:val="fr-FR"/>
              </w:rPr>
              <w:t>Élément</w:t>
            </w:r>
          </w:p>
        </w:tc>
        <w:tc>
          <w:tcPr>
            <w:tcW w:w="13532" w:type="dxa"/>
            <w:shd w:val="clear" w:color="auto" w:fill="D6E3BC"/>
          </w:tcPr>
          <w:p w14:paraId="76D15C74" w14:textId="77777777" w:rsidR="00D4302A" w:rsidRPr="002B5BF8" w:rsidRDefault="0090343F">
            <w:pPr>
              <w:pStyle w:val="TableParagraph"/>
              <w:spacing w:before="238"/>
              <w:ind w:left="103" w:right="250"/>
              <w:rPr>
                <w:b/>
                <w:sz w:val="32"/>
                <w:lang w:val="fr-FR"/>
              </w:rPr>
            </w:pPr>
            <w:r w:rsidRPr="002B5BF8">
              <w:rPr>
                <w:b/>
                <w:sz w:val="32"/>
                <w:lang w:val="fr-FR"/>
              </w:rPr>
              <w:t>A prendre en compte</w:t>
            </w:r>
          </w:p>
        </w:tc>
      </w:tr>
      <w:tr w:rsidR="00D4302A" w:rsidRPr="00C66B96" w14:paraId="03C47667" w14:textId="77777777" w:rsidTr="00C66B96">
        <w:trPr>
          <w:trHeight w:hRule="exact" w:val="4776"/>
        </w:trPr>
        <w:tc>
          <w:tcPr>
            <w:tcW w:w="1885" w:type="dxa"/>
          </w:tcPr>
          <w:p w14:paraId="732B83AF" w14:textId="77777777" w:rsidR="00D4302A" w:rsidRPr="002B5BF8" w:rsidRDefault="00D4302A">
            <w:pPr>
              <w:pStyle w:val="TableParagraph"/>
              <w:rPr>
                <w:b/>
                <w:lang w:val="fr-FR"/>
              </w:rPr>
            </w:pPr>
          </w:p>
          <w:p w14:paraId="6767C503" w14:textId="77777777" w:rsidR="00D4302A" w:rsidRPr="002B5BF8" w:rsidRDefault="00D4302A">
            <w:pPr>
              <w:pStyle w:val="TableParagraph"/>
              <w:rPr>
                <w:b/>
                <w:lang w:val="fr-FR"/>
              </w:rPr>
            </w:pPr>
          </w:p>
          <w:p w14:paraId="12FDE86C" w14:textId="77777777" w:rsidR="00D4302A" w:rsidRPr="002B5BF8" w:rsidRDefault="00D4302A">
            <w:pPr>
              <w:pStyle w:val="TableParagraph"/>
              <w:rPr>
                <w:b/>
                <w:lang w:val="fr-FR"/>
              </w:rPr>
            </w:pPr>
          </w:p>
          <w:p w14:paraId="31CA3307" w14:textId="77777777" w:rsidR="00D4302A" w:rsidRPr="002B5BF8" w:rsidRDefault="00D4302A">
            <w:pPr>
              <w:pStyle w:val="TableParagraph"/>
              <w:rPr>
                <w:b/>
                <w:lang w:val="fr-FR"/>
              </w:rPr>
            </w:pPr>
          </w:p>
          <w:p w14:paraId="35146B6F" w14:textId="77777777" w:rsidR="00D4302A" w:rsidRPr="002B5BF8" w:rsidRDefault="00D4302A">
            <w:pPr>
              <w:pStyle w:val="TableParagraph"/>
              <w:rPr>
                <w:b/>
                <w:lang w:val="fr-FR"/>
              </w:rPr>
            </w:pPr>
          </w:p>
          <w:p w14:paraId="6B6A5DA2" w14:textId="77777777" w:rsidR="00D4302A" w:rsidRPr="002B5BF8" w:rsidRDefault="00D4302A">
            <w:pPr>
              <w:pStyle w:val="TableParagraph"/>
              <w:rPr>
                <w:b/>
                <w:lang w:val="fr-FR"/>
              </w:rPr>
            </w:pPr>
          </w:p>
          <w:p w14:paraId="6A9707A9" w14:textId="77777777" w:rsidR="00D4302A" w:rsidRPr="002B5BF8" w:rsidRDefault="00D4302A">
            <w:pPr>
              <w:pStyle w:val="TableParagraph"/>
              <w:rPr>
                <w:b/>
                <w:lang w:val="fr-FR"/>
              </w:rPr>
            </w:pPr>
          </w:p>
          <w:p w14:paraId="3F0DC951" w14:textId="77777777" w:rsidR="00D4302A" w:rsidRPr="002B5BF8" w:rsidRDefault="00D4302A">
            <w:pPr>
              <w:pStyle w:val="TableParagraph"/>
              <w:rPr>
                <w:b/>
                <w:lang w:val="fr-FR"/>
              </w:rPr>
            </w:pPr>
          </w:p>
          <w:p w14:paraId="0EF109FC" w14:textId="77777777" w:rsidR="00D4302A" w:rsidRPr="002B5BF8" w:rsidRDefault="00D4302A">
            <w:pPr>
              <w:pStyle w:val="TableParagraph"/>
              <w:spacing w:before="5"/>
              <w:rPr>
                <w:b/>
                <w:sz w:val="18"/>
                <w:lang w:val="fr-FR"/>
              </w:rPr>
            </w:pPr>
          </w:p>
          <w:p w14:paraId="5018CF0E" w14:textId="0FCA4FF6" w:rsidR="00D4302A" w:rsidRPr="002B5BF8" w:rsidRDefault="0090343F" w:rsidP="00C66B96">
            <w:pPr>
              <w:pStyle w:val="TableParagraph"/>
              <w:ind w:left="48" w:right="227"/>
              <w:rPr>
                <w:b/>
                <w:lang w:val="fr-FR"/>
              </w:rPr>
            </w:pPr>
            <w:r w:rsidRPr="002B5BF8">
              <w:rPr>
                <w:b/>
                <w:lang w:val="fr-FR"/>
              </w:rPr>
              <w:t>EST</w:t>
            </w:r>
            <w:r w:rsidR="00E61AAF">
              <w:rPr>
                <w:b/>
                <w:lang w:val="fr-FR"/>
              </w:rPr>
              <w:t>IMATIONDU</w:t>
            </w:r>
            <w:r w:rsidRPr="002B5BF8">
              <w:rPr>
                <w:b/>
                <w:lang w:val="fr-FR"/>
              </w:rPr>
              <w:t xml:space="preserve"> NOMBRE DE </w:t>
            </w:r>
            <w:r w:rsidR="00D76474">
              <w:rPr>
                <w:b/>
                <w:lang w:val="fr-FR"/>
              </w:rPr>
              <w:t>BÉNÉFICIAIRES</w:t>
            </w:r>
          </w:p>
        </w:tc>
        <w:tc>
          <w:tcPr>
            <w:tcW w:w="13532" w:type="dxa"/>
          </w:tcPr>
          <w:p w14:paraId="62CC2300" w14:textId="77777777" w:rsidR="00D4302A" w:rsidRPr="002B5BF8" w:rsidRDefault="0090343F" w:rsidP="007204FC">
            <w:pPr>
              <w:pStyle w:val="TableParagraph"/>
              <w:ind w:left="103" w:right="250"/>
              <w:rPr>
                <w:lang w:val="fr-FR"/>
              </w:rPr>
            </w:pPr>
            <w:r w:rsidRPr="002B5BF8">
              <w:rPr>
                <w:lang w:val="fr-FR"/>
              </w:rPr>
              <w:t>Les informations utilisées pour générer des estimations devrai</w:t>
            </w:r>
            <w:r w:rsidR="00AD0843">
              <w:rPr>
                <w:lang w:val="fr-FR"/>
              </w:rPr>
              <w:t>en</w:t>
            </w:r>
            <w:r w:rsidRPr="002B5BF8">
              <w:rPr>
                <w:lang w:val="fr-FR"/>
              </w:rPr>
              <w:t>t être basées sur les données d'évaluation démographiques les plus récentes et sur la couverture prévu</w:t>
            </w:r>
            <w:r w:rsidR="00562C83">
              <w:rPr>
                <w:lang w:val="fr-FR"/>
              </w:rPr>
              <w:t>e. Si des documents de planification</w:t>
            </w:r>
            <w:r w:rsidR="00AD0843">
              <w:rPr>
                <w:lang w:val="fr-FR"/>
              </w:rPr>
              <w:t>/préparation</w:t>
            </w:r>
            <w:r w:rsidR="00562C83">
              <w:rPr>
                <w:lang w:val="fr-FR"/>
              </w:rPr>
              <w:t xml:space="preserve"> aux </w:t>
            </w:r>
            <w:r w:rsidRPr="002B5BF8">
              <w:rPr>
                <w:lang w:val="fr-FR"/>
              </w:rPr>
              <w:t>urgence</w:t>
            </w:r>
            <w:r w:rsidR="00562C83">
              <w:rPr>
                <w:lang w:val="fr-FR"/>
              </w:rPr>
              <w:t>s</w:t>
            </w:r>
            <w:r w:rsidRPr="002B5BF8">
              <w:rPr>
                <w:lang w:val="fr-FR"/>
              </w:rPr>
              <w:t xml:space="preserve"> ont été mis au point, ils devr</w:t>
            </w:r>
            <w:r w:rsidR="00AD0843">
              <w:rPr>
                <w:lang w:val="fr-FR"/>
              </w:rPr>
              <w:t>ont également</w:t>
            </w:r>
            <w:r w:rsidRPr="002B5BF8">
              <w:rPr>
                <w:lang w:val="fr-FR"/>
              </w:rPr>
              <w:t xml:space="preserve"> être examinés afin de vérifier s’ils sont tou</w:t>
            </w:r>
            <w:r w:rsidR="009236DB">
              <w:rPr>
                <w:lang w:val="fr-FR"/>
              </w:rPr>
              <w:t>jours valables pour ce contexte</w:t>
            </w:r>
            <w:r w:rsidRPr="002B5BF8">
              <w:rPr>
                <w:lang w:val="fr-FR"/>
              </w:rPr>
              <w:t xml:space="preserve"> spécifique</w:t>
            </w:r>
            <w:r w:rsidR="009236DB">
              <w:rPr>
                <w:lang w:val="fr-FR"/>
              </w:rPr>
              <w:t xml:space="preserve"> </w:t>
            </w:r>
            <w:r w:rsidR="009236DB" w:rsidRPr="002B5BF8">
              <w:rPr>
                <w:lang w:val="fr-FR"/>
              </w:rPr>
              <w:t>d'urgence</w:t>
            </w:r>
            <w:r w:rsidRPr="002B5BF8">
              <w:rPr>
                <w:lang w:val="fr-FR"/>
              </w:rPr>
              <w:t>.</w:t>
            </w:r>
          </w:p>
          <w:p w14:paraId="4C67ABD0" w14:textId="77777777" w:rsidR="0090343F" w:rsidRPr="002B5BF8" w:rsidRDefault="0090343F">
            <w:pPr>
              <w:pStyle w:val="TableParagraph"/>
              <w:spacing w:before="1"/>
              <w:ind w:left="103" w:right="409"/>
              <w:rPr>
                <w:lang w:val="fr-FR"/>
              </w:rPr>
            </w:pPr>
          </w:p>
          <w:p w14:paraId="40372B38" w14:textId="0E4E7DE4" w:rsidR="0090343F" w:rsidRPr="002B5BF8" w:rsidRDefault="0090343F">
            <w:pPr>
              <w:pStyle w:val="TableParagraph"/>
              <w:spacing w:before="1"/>
              <w:ind w:left="103" w:right="409"/>
              <w:rPr>
                <w:lang w:val="fr-FR"/>
              </w:rPr>
            </w:pPr>
            <w:r w:rsidRPr="002B5BF8">
              <w:rPr>
                <w:lang w:val="fr-FR"/>
              </w:rPr>
              <w:t xml:space="preserve">Les informations concernant </w:t>
            </w:r>
            <w:r w:rsidRPr="002B5BF8">
              <w:rPr>
                <w:b/>
                <w:lang w:val="fr-FR"/>
              </w:rPr>
              <w:t>la taille de la population</w:t>
            </w:r>
            <w:r w:rsidRPr="002B5BF8">
              <w:rPr>
                <w:lang w:val="fr-FR"/>
              </w:rPr>
              <w:t xml:space="preserve"> sont parfois limitées. Dans ce cas, </w:t>
            </w:r>
            <w:r w:rsidR="00AD0843">
              <w:rPr>
                <w:lang w:val="fr-FR"/>
              </w:rPr>
              <w:t xml:space="preserve">il faudra utiliser, faute de mieux, </w:t>
            </w:r>
            <w:r w:rsidRPr="002B5BF8">
              <w:rPr>
                <w:lang w:val="fr-FR"/>
              </w:rPr>
              <w:t xml:space="preserve">les informations disponibles </w:t>
            </w:r>
            <w:r w:rsidR="00AD0843">
              <w:rPr>
                <w:lang w:val="fr-FR"/>
              </w:rPr>
              <w:t xml:space="preserve">et </w:t>
            </w:r>
            <w:r w:rsidRPr="002B5BF8">
              <w:rPr>
                <w:lang w:val="fr-FR"/>
              </w:rPr>
              <w:t xml:space="preserve">documenter </w:t>
            </w:r>
            <w:r w:rsidR="009236DB">
              <w:rPr>
                <w:lang w:val="fr-FR"/>
              </w:rPr>
              <w:t xml:space="preserve">à la fois </w:t>
            </w:r>
            <w:r w:rsidR="009236DB" w:rsidRPr="002B5BF8">
              <w:rPr>
                <w:lang w:val="fr-FR"/>
              </w:rPr>
              <w:t xml:space="preserve">les estimations </w:t>
            </w:r>
            <w:r w:rsidR="009236DB">
              <w:rPr>
                <w:lang w:val="fr-FR"/>
              </w:rPr>
              <w:t>concernant</w:t>
            </w:r>
            <w:r w:rsidR="00562C83">
              <w:rPr>
                <w:lang w:val="fr-FR"/>
              </w:rPr>
              <w:t xml:space="preserve"> la population affect</w:t>
            </w:r>
            <w:r w:rsidR="009236DB" w:rsidRPr="002B5BF8">
              <w:rPr>
                <w:lang w:val="fr-FR"/>
              </w:rPr>
              <w:t>ée</w:t>
            </w:r>
            <w:r w:rsidR="009236DB">
              <w:rPr>
                <w:lang w:val="fr-FR"/>
              </w:rPr>
              <w:t xml:space="preserve"> et </w:t>
            </w:r>
            <w:r w:rsidR="00AD0843">
              <w:rPr>
                <w:lang w:val="fr-FR"/>
              </w:rPr>
              <w:t>la justification pour les chiffres obtenus</w:t>
            </w:r>
            <w:r w:rsidRPr="002B5BF8">
              <w:rPr>
                <w:lang w:val="fr-FR"/>
              </w:rPr>
              <w:t>. L</w:t>
            </w:r>
            <w:r w:rsidR="00AD0843">
              <w:rPr>
                <w:lang w:val="fr-FR"/>
              </w:rPr>
              <w:t>a définition d</w:t>
            </w:r>
            <w:r w:rsidRPr="002B5BF8">
              <w:rPr>
                <w:lang w:val="fr-FR"/>
              </w:rPr>
              <w:t xml:space="preserve">es </w:t>
            </w:r>
            <w:r w:rsidRPr="002B5BF8">
              <w:rPr>
                <w:b/>
                <w:lang w:val="fr-FR"/>
              </w:rPr>
              <w:t xml:space="preserve">groupes cibles </w:t>
            </w:r>
            <w:r w:rsidR="009236DB">
              <w:rPr>
                <w:lang w:val="fr-FR"/>
              </w:rPr>
              <w:t>sera</w:t>
            </w:r>
            <w:r w:rsidRPr="002B5BF8">
              <w:rPr>
                <w:lang w:val="fr-FR"/>
              </w:rPr>
              <w:t xml:space="preserve"> fondé</w:t>
            </w:r>
            <w:r w:rsidR="00AD0843">
              <w:rPr>
                <w:lang w:val="fr-FR"/>
              </w:rPr>
              <w:t>e</w:t>
            </w:r>
            <w:r w:rsidRPr="002B5BF8">
              <w:rPr>
                <w:lang w:val="fr-FR"/>
              </w:rPr>
              <w:t xml:space="preserve"> sur les </w:t>
            </w:r>
            <w:r w:rsidR="009236DB">
              <w:rPr>
                <w:lang w:val="fr-FR"/>
              </w:rPr>
              <w:t>engagements pris par</w:t>
            </w:r>
            <w:r w:rsidRPr="002B5BF8">
              <w:rPr>
                <w:lang w:val="fr-FR"/>
              </w:rPr>
              <w:t xml:space="preserve"> le Cluster </w:t>
            </w:r>
            <w:r w:rsidR="009236DB">
              <w:rPr>
                <w:lang w:val="fr-FR"/>
              </w:rPr>
              <w:t>Nutrition dans s</w:t>
            </w:r>
            <w:r w:rsidRPr="002B5BF8">
              <w:rPr>
                <w:lang w:val="fr-FR"/>
              </w:rPr>
              <w:t xml:space="preserve">a stratégie </w:t>
            </w:r>
            <w:r w:rsidR="00D76474">
              <w:rPr>
                <w:lang w:val="fr-FR"/>
              </w:rPr>
              <w:t>d’intervention.</w:t>
            </w:r>
          </w:p>
          <w:p w14:paraId="1F81E953" w14:textId="77777777" w:rsidR="008921E4" w:rsidRPr="002B5BF8" w:rsidRDefault="008921E4">
            <w:pPr>
              <w:pStyle w:val="TableParagraph"/>
              <w:ind w:left="103" w:right="97"/>
              <w:rPr>
                <w:lang w:val="fr-FR"/>
              </w:rPr>
            </w:pPr>
          </w:p>
          <w:p w14:paraId="55E0D0CB" w14:textId="5F613F80" w:rsidR="008921E4" w:rsidRPr="002B5BF8" w:rsidRDefault="008921E4">
            <w:pPr>
              <w:pStyle w:val="TableParagraph"/>
              <w:ind w:left="103" w:right="97"/>
              <w:rPr>
                <w:lang w:val="fr-FR"/>
              </w:rPr>
            </w:pPr>
            <w:r w:rsidRPr="002B5BF8">
              <w:rPr>
                <w:lang w:val="fr-FR"/>
              </w:rPr>
              <w:t xml:space="preserve">Les  informations concernant la </w:t>
            </w:r>
            <w:r w:rsidRPr="002B5BF8">
              <w:rPr>
                <w:b/>
                <w:lang w:val="fr-FR"/>
              </w:rPr>
              <w:t xml:space="preserve">prévalence </w:t>
            </w:r>
            <w:r w:rsidRPr="002B5BF8">
              <w:rPr>
                <w:lang w:val="fr-FR"/>
              </w:rPr>
              <w:t xml:space="preserve">peuvent être utilisées pour estimer le nombre d'individus qui sont affectés à un moment donné. La planification de </w:t>
            </w:r>
            <w:r w:rsidR="00D76474">
              <w:rPr>
                <w:lang w:val="fr-FR"/>
              </w:rPr>
              <w:t>l’intervention</w:t>
            </w:r>
            <w:r w:rsidRPr="002B5BF8">
              <w:rPr>
                <w:lang w:val="fr-FR"/>
              </w:rPr>
              <w:t xml:space="preserve"> globale doit prendre en compte le nombre total estimé de personnes qui seront affectées au fil du temps (</w:t>
            </w:r>
            <w:r w:rsidR="00AD0843">
              <w:rPr>
                <w:lang w:val="fr-FR"/>
              </w:rPr>
              <w:t>l</w:t>
            </w:r>
            <w:r w:rsidRPr="002B5BF8">
              <w:rPr>
                <w:lang w:val="fr-FR"/>
              </w:rPr>
              <w:t xml:space="preserve">'incidence). </w:t>
            </w:r>
            <w:r w:rsidRPr="002B5BF8">
              <w:rPr>
                <w:b/>
                <w:lang w:val="fr-FR"/>
              </w:rPr>
              <w:t xml:space="preserve">L’incidence </w:t>
            </w:r>
            <w:r w:rsidRPr="002B5BF8">
              <w:rPr>
                <w:lang w:val="fr-FR"/>
              </w:rPr>
              <w:t xml:space="preserve">des cas </w:t>
            </w:r>
            <w:r w:rsidR="00D76474">
              <w:rPr>
                <w:lang w:val="fr-FR"/>
              </w:rPr>
              <w:t>de MAS</w:t>
            </w:r>
            <w:r w:rsidR="00D76474" w:rsidRPr="002B5BF8">
              <w:rPr>
                <w:lang w:val="fr-FR"/>
              </w:rPr>
              <w:t xml:space="preserve"> </w:t>
            </w:r>
            <w:r w:rsidRPr="002B5BF8">
              <w:rPr>
                <w:lang w:val="fr-FR"/>
              </w:rPr>
              <w:t>et MAM peut être estimée en appliquant un coefficient de conversion aux estimations de la prévalence, bien qu'il n'existe pas de consensus mo</w:t>
            </w:r>
            <w:r w:rsidR="00AD0843">
              <w:rPr>
                <w:lang w:val="fr-FR"/>
              </w:rPr>
              <w:t>ndial sur c</w:t>
            </w:r>
            <w:r w:rsidRPr="002B5BF8">
              <w:rPr>
                <w:lang w:val="fr-FR"/>
              </w:rPr>
              <w:t>es coefficients de conversion.</w:t>
            </w:r>
            <w:r w:rsidRPr="002B5BF8">
              <w:rPr>
                <w:rStyle w:val="FootnoteReference"/>
                <w:lang w:val="fr-FR"/>
              </w:rPr>
              <w:footnoteReference w:id="1"/>
            </w:r>
          </w:p>
          <w:p w14:paraId="2CB6EC11" w14:textId="77777777" w:rsidR="008921E4" w:rsidRPr="002B5BF8" w:rsidRDefault="008921E4">
            <w:pPr>
              <w:pStyle w:val="TableParagraph"/>
              <w:spacing w:before="1"/>
              <w:ind w:left="103" w:right="458"/>
              <w:rPr>
                <w:lang w:val="fr-FR"/>
              </w:rPr>
            </w:pPr>
          </w:p>
          <w:p w14:paraId="008B065F" w14:textId="68CFA2FF" w:rsidR="008921E4" w:rsidRPr="002B5BF8" w:rsidRDefault="008921E4">
            <w:pPr>
              <w:pStyle w:val="TableParagraph"/>
              <w:spacing w:before="1"/>
              <w:ind w:left="103" w:right="458"/>
              <w:rPr>
                <w:lang w:val="fr-FR"/>
              </w:rPr>
            </w:pPr>
            <w:r w:rsidRPr="002B5BF8">
              <w:rPr>
                <w:lang w:val="fr-FR"/>
              </w:rPr>
              <w:t xml:space="preserve">Il est rare que les interventions nutritionnelles prévoient une </w:t>
            </w:r>
            <w:r w:rsidRPr="00C66B96">
              <w:rPr>
                <w:b/>
                <w:lang w:val="fr-FR"/>
              </w:rPr>
              <w:t>couverture</w:t>
            </w:r>
            <w:r w:rsidRPr="002B5BF8">
              <w:rPr>
                <w:lang w:val="fr-FR"/>
              </w:rPr>
              <w:t xml:space="preserve"> </w:t>
            </w:r>
            <w:r w:rsidR="00EC1CB7">
              <w:rPr>
                <w:lang w:val="fr-FR"/>
              </w:rPr>
              <w:t>de 100% des personnes affectées</w:t>
            </w:r>
            <w:r w:rsidRPr="002B5BF8">
              <w:rPr>
                <w:lang w:val="fr-FR"/>
              </w:rPr>
              <w:t xml:space="preserve">, en raison des questions de sécurité, d'accès et de capacité. Mais la </w:t>
            </w:r>
            <w:r w:rsidR="009236DB">
              <w:rPr>
                <w:lang w:val="fr-FR"/>
              </w:rPr>
              <w:t>couverture doit être définie pour</w:t>
            </w:r>
            <w:r w:rsidRPr="002B5BF8">
              <w:rPr>
                <w:lang w:val="fr-FR"/>
              </w:rPr>
              <w:t xml:space="preserve"> chaque programme </w:t>
            </w:r>
            <w:r w:rsidR="00AD0843">
              <w:rPr>
                <w:lang w:val="fr-FR"/>
              </w:rPr>
              <w:t xml:space="preserve">par le cluster </w:t>
            </w:r>
            <w:r w:rsidRPr="002B5BF8">
              <w:rPr>
                <w:lang w:val="fr-FR"/>
              </w:rPr>
              <w:t>Nutrition dans son ens</w:t>
            </w:r>
            <w:r w:rsidR="00EC1CB7">
              <w:rPr>
                <w:lang w:val="fr-FR"/>
              </w:rPr>
              <w:t xml:space="preserve">emble et </w:t>
            </w:r>
            <w:r w:rsidR="00D76474">
              <w:rPr>
                <w:lang w:val="fr-FR"/>
              </w:rPr>
              <w:t xml:space="preserve">il faut tenter d’y parvenir </w:t>
            </w:r>
            <w:r w:rsidRPr="002B5BF8">
              <w:rPr>
                <w:lang w:val="fr-FR"/>
              </w:rPr>
              <w:t xml:space="preserve">du mieux </w:t>
            </w:r>
            <w:r w:rsidR="00AD0843">
              <w:rPr>
                <w:lang w:val="fr-FR"/>
              </w:rPr>
              <w:t>possible</w:t>
            </w:r>
            <w:r w:rsidRPr="002B5BF8">
              <w:rPr>
                <w:lang w:val="fr-FR"/>
              </w:rPr>
              <w:t xml:space="preserve"> (les normes minimales SPHERE sont souvent utilisées comme objectif pour la couverture).</w:t>
            </w:r>
          </w:p>
          <w:p w14:paraId="708014D8" w14:textId="77777777" w:rsidR="00D4302A" w:rsidRPr="002B5BF8" w:rsidRDefault="00D4302A">
            <w:pPr>
              <w:pStyle w:val="TableParagraph"/>
              <w:spacing w:before="4"/>
              <w:rPr>
                <w:b/>
                <w:sz w:val="20"/>
                <w:lang w:val="fr-FR"/>
              </w:rPr>
            </w:pPr>
          </w:p>
          <w:p w14:paraId="7CAC945C" w14:textId="5CCCA3ED" w:rsidR="00D4302A" w:rsidRPr="002B5BF8" w:rsidRDefault="00507B77" w:rsidP="008921E4">
            <w:pPr>
              <w:pStyle w:val="TableParagraph"/>
              <w:ind w:left="103" w:right="250"/>
              <w:rPr>
                <w:i/>
                <w:sz w:val="24"/>
                <w:lang w:val="fr-FR"/>
              </w:rPr>
            </w:pPr>
            <w:r w:rsidRPr="002B5BF8">
              <w:rPr>
                <w:i/>
                <w:sz w:val="24"/>
                <w:lang w:val="fr-FR"/>
              </w:rPr>
              <w:t>R</w:t>
            </w:r>
            <w:r>
              <w:rPr>
                <w:i/>
                <w:sz w:val="24"/>
                <w:lang w:val="fr-FR"/>
              </w:rPr>
              <w:t>é</w:t>
            </w:r>
            <w:r w:rsidRPr="002B5BF8">
              <w:rPr>
                <w:i/>
                <w:sz w:val="24"/>
                <w:lang w:val="fr-FR"/>
              </w:rPr>
              <w:t>fé</w:t>
            </w:r>
            <w:r>
              <w:rPr>
                <w:i/>
                <w:sz w:val="24"/>
                <w:lang w:val="fr-FR"/>
              </w:rPr>
              <w:t>re</w:t>
            </w:r>
            <w:r w:rsidRPr="002B5BF8">
              <w:rPr>
                <w:i/>
                <w:sz w:val="24"/>
                <w:lang w:val="fr-FR"/>
              </w:rPr>
              <w:t>nce</w:t>
            </w:r>
            <w:r>
              <w:rPr>
                <w:i/>
                <w:sz w:val="24"/>
                <w:lang w:val="fr-FR"/>
              </w:rPr>
              <w:t xml:space="preserve"> </w:t>
            </w:r>
            <w:r w:rsidR="0090343F" w:rsidRPr="002B5BF8">
              <w:rPr>
                <w:i/>
                <w:sz w:val="24"/>
                <w:lang w:val="fr-FR"/>
              </w:rPr>
              <w:t xml:space="preserve">: document </w:t>
            </w:r>
            <w:r w:rsidR="008921E4" w:rsidRPr="002B5BF8">
              <w:rPr>
                <w:i/>
                <w:sz w:val="24"/>
                <w:lang w:val="fr-FR"/>
              </w:rPr>
              <w:t>écrit par</w:t>
            </w:r>
            <w:r w:rsidR="0090343F" w:rsidRPr="002B5BF8">
              <w:rPr>
                <w:i/>
                <w:sz w:val="24"/>
                <w:lang w:val="fr-FR"/>
              </w:rPr>
              <w:t xml:space="preserve"> Mark </w:t>
            </w:r>
            <w:proofErr w:type="spellStart"/>
            <w:r w:rsidR="0090343F" w:rsidRPr="002B5BF8">
              <w:rPr>
                <w:i/>
                <w:sz w:val="24"/>
                <w:lang w:val="fr-FR"/>
              </w:rPr>
              <w:t>M</w:t>
            </w:r>
            <w:r w:rsidR="008921E4" w:rsidRPr="002B5BF8">
              <w:rPr>
                <w:i/>
                <w:sz w:val="24"/>
                <w:lang w:val="fr-FR"/>
              </w:rPr>
              <w:t>yatt</w:t>
            </w:r>
            <w:proofErr w:type="spellEnd"/>
            <w:r w:rsidR="008921E4" w:rsidRPr="002B5BF8">
              <w:rPr>
                <w:i/>
                <w:sz w:val="24"/>
                <w:lang w:val="fr-FR"/>
              </w:rPr>
              <w:t xml:space="preserve"> (juin</w:t>
            </w:r>
            <w:r w:rsidR="0090343F" w:rsidRPr="002B5BF8">
              <w:rPr>
                <w:i/>
                <w:sz w:val="24"/>
                <w:lang w:val="fr-FR"/>
              </w:rPr>
              <w:t xml:space="preserve"> 2012, CMAM Forum)</w:t>
            </w:r>
          </w:p>
        </w:tc>
      </w:tr>
      <w:tr w:rsidR="00D4302A" w:rsidRPr="00C66B96" w14:paraId="56DD8586" w14:textId="77777777" w:rsidTr="00C66B96">
        <w:trPr>
          <w:trHeight w:hRule="exact" w:val="3702"/>
        </w:trPr>
        <w:tc>
          <w:tcPr>
            <w:tcW w:w="1885" w:type="dxa"/>
          </w:tcPr>
          <w:p w14:paraId="22FEECF7" w14:textId="31B9A6C5" w:rsidR="00D4302A" w:rsidRPr="002B5BF8" w:rsidRDefault="007204FC" w:rsidP="00C66B96">
            <w:pPr>
              <w:pStyle w:val="TableParagraph"/>
              <w:ind w:left="48" w:right="227" w:firstLine="34"/>
              <w:rPr>
                <w:b/>
                <w:lang w:val="fr-FR"/>
              </w:rPr>
            </w:pPr>
            <w:proofErr w:type="gramStart"/>
            <w:r>
              <w:rPr>
                <w:b/>
                <w:lang w:val="fr-FR"/>
              </w:rPr>
              <w:lastRenderedPageBreak/>
              <w:t>ESTIMATION  DES</w:t>
            </w:r>
            <w:proofErr w:type="gramEnd"/>
            <w:r>
              <w:rPr>
                <w:b/>
                <w:lang w:val="fr-FR"/>
              </w:rPr>
              <w:t xml:space="preserve"> BESOINS EN </w:t>
            </w:r>
            <w:r w:rsidR="00D76474">
              <w:rPr>
                <w:b/>
                <w:lang w:val="fr-FR"/>
              </w:rPr>
              <w:t>APPROVISIONNEMENT</w:t>
            </w:r>
          </w:p>
        </w:tc>
        <w:tc>
          <w:tcPr>
            <w:tcW w:w="13532" w:type="dxa"/>
          </w:tcPr>
          <w:p w14:paraId="28D58544" w14:textId="5DEB348B" w:rsidR="006E7BC9" w:rsidRPr="002B5BF8" w:rsidRDefault="006E7BC9" w:rsidP="006E7BC9">
            <w:pPr>
              <w:pStyle w:val="TableParagraph"/>
              <w:ind w:right="528"/>
              <w:rPr>
                <w:lang w:val="fr-FR"/>
              </w:rPr>
            </w:pPr>
            <w:r w:rsidRPr="002B5BF8">
              <w:rPr>
                <w:lang w:val="fr-FR"/>
              </w:rPr>
              <w:t xml:space="preserve">Une fois que </w:t>
            </w:r>
            <w:r w:rsidR="00C00E0B">
              <w:rPr>
                <w:lang w:val="fr-FR"/>
              </w:rPr>
              <w:t>le nombre de bénéficiaires ciblés</w:t>
            </w:r>
            <w:r w:rsidRPr="002B5BF8">
              <w:rPr>
                <w:lang w:val="fr-FR"/>
              </w:rPr>
              <w:t xml:space="preserve"> a été déterminé, il faut calculer la quantité de </w:t>
            </w:r>
            <w:r w:rsidR="00D76474">
              <w:rPr>
                <w:b/>
                <w:lang w:val="fr-FR"/>
              </w:rPr>
              <w:t xml:space="preserve">disponibilités </w:t>
            </w:r>
            <w:commentRangeStart w:id="1"/>
            <w:r w:rsidRPr="002B5BF8">
              <w:rPr>
                <w:b/>
                <w:lang w:val="fr-FR"/>
              </w:rPr>
              <w:t>et</w:t>
            </w:r>
            <w:commentRangeEnd w:id="1"/>
            <w:r w:rsidR="00D76474">
              <w:rPr>
                <w:rStyle w:val="CommentReference"/>
              </w:rPr>
              <w:commentReference w:id="1"/>
            </w:r>
            <w:r w:rsidRPr="002B5BF8">
              <w:rPr>
                <w:b/>
                <w:lang w:val="fr-FR"/>
              </w:rPr>
              <w:t xml:space="preserve"> de matériel</w:t>
            </w:r>
            <w:r w:rsidRPr="002B5BF8">
              <w:rPr>
                <w:lang w:val="fr-FR"/>
              </w:rPr>
              <w:t xml:space="preserve"> nécessaires pour délivrer cette intervention spécifique à ce nombre de personnes précis, par </w:t>
            </w:r>
            <w:r w:rsidR="00AD0843">
              <w:rPr>
                <w:lang w:val="fr-FR"/>
              </w:rPr>
              <w:t xml:space="preserve">exemple le nombre de sachets d’aliments </w:t>
            </w:r>
            <w:r w:rsidRPr="002B5BF8">
              <w:rPr>
                <w:lang w:val="fr-FR"/>
              </w:rPr>
              <w:t>thérapeutique</w:t>
            </w:r>
            <w:r w:rsidR="00AD0843">
              <w:rPr>
                <w:lang w:val="fr-FR"/>
              </w:rPr>
              <w:t>s</w:t>
            </w:r>
            <w:r w:rsidRPr="002B5BF8">
              <w:rPr>
                <w:lang w:val="fr-FR"/>
              </w:rPr>
              <w:t xml:space="preserve"> prêt à l'emploi (ATPE), ainsi que le nombre total </w:t>
            </w:r>
            <w:r w:rsidR="00AD0843">
              <w:rPr>
                <w:lang w:val="fr-FR"/>
              </w:rPr>
              <w:t xml:space="preserve">de </w:t>
            </w:r>
            <w:r w:rsidR="00C00E0B">
              <w:rPr>
                <w:lang w:val="fr-FR"/>
              </w:rPr>
              <w:t>tonnes</w:t>
            </w:r>
            <w:r w:rsidRPr="002B5BF8">
              <w:rPr>
                <w:lang w:val="fr-FR"/>
              </w:rPr>
              <w:t xml:space="preserve"> d’ATPE requis pour cette période spécifique. Différentes organisations peuvent utiliser différentes estimations par bénéficiaire, et les estimations dépendent de facteurs contextuels (la durée moyenne de séjour dans le cas du traitement de la MAS, par exemple). Il est aussi possible de générer des estimatio</w:t>
            </w:r>
            <w:r w:rsidR="00AD0843">
              <w:rPr>
                <w:lang w:val="fr-FR"/>
              </w:rPr>
              <w:t>ns de planification à travers une</w:t>
            </w:r>
            <w:r w:rsidRPr="002B5BF8">
              <w:rPr>
                <w:lang w:val="fr-FR"/>
              </w:rPr>
              <w:t xml:space="preserve"> consultation. Des </w:t>
            </w:r>
            <w:r w:rsidR="00D76474">
              <w:rPr>
                <w:lang w:val="fr-FR"/>
              </w:rPr>
              <w:t xml:space="preserve">disponibilités </w:t>
            </w:r>
            <w:r w:rsidRPr="002B5BF8">
              <w:rPr>
                <w:lang w:val="fr-FR"/>
              </w:rPr>
              <w:t xml:space="preserve">supplémentaires devraient toujours être prévues pour tenir compte </w:t>
            </w:r>
            <w:r w:rsidR="009236DB">
              <w:rPr>
                <w:lang w:val="fr-FR"/>
              </w:rPr>
              <w:t xml:space="preserve">d’une </w:t>
            </w:r>
            <w:r w:rsidR="009236DB" w:rsidRPr="002B5BF8">
              <w:rPr>
                <w:lang w:val="fr-FR"/>
              </w:rPr>
              <w:t>détériorati</w:t>
            </w:r>
            <w:r w:rsidR="009236DB">
              <w:rPr>
                <w:lang w:val="fr-FR"/>
              </w:rPr>
              <w:t xml:space="preserve">on potentielle </w:t>
            </w:r>
            <w:r w:rsidR="00C00E0B">
              <w:rPr>
                <w:lang w:val="fr-FR"/>
              </w:rPr>
              <w:t xml:space="preserve">des </w:t>
            </w:r>
            <w:r w:rsidR="00D76474">
              <w:rPr>
                <w:lang w:val="fr-FR"/>
              </w:rPr>
              <w:t xml:space="preserve">disponibilités </w:t>
            </w:r>
            <w:r w:rsidR="009236DB">
              <w:rPr>
                <w:lang w:val="fr-FR"/>
              </w:rPr>
              <w:t xml:space="preserve">et </w:t>
            </w:r>
            <w:r w:rsidRPr="002B5BF8">
              <w:rPr>
                <w:lang w:val="fr-FR"/>
              </w:rPr>
              <w:t xml:space="preserve">des dommages </w:t>
            </w:r>
            <w:r w:rsidR="009236DB">
              <w:rPr>
                <w:lang w:val="fr-FR"/>
              </w:rPr>
              <w:t xml:space="preserve">éventuels </w:t>
            </w:r>
            <w:r w:rsidR="00AD0843">
              <w:rPr>
                <w:lang w:val="fr-FR"/>
              </w:rPr>
              <w:t>liés au transport.</w:t>
            </w:r>
            <w:r w:rsidR="009236DB">
              <w:rPr>
                <w:lang w:val="fr-FR"/>
              </w:rPr>
              <w:t xml:space="preserve"> M</w:t>
            </w:r>
            <w:r w:rsidRPr="002B5BF8">
              <w:rPr>
                <w:lang w:val="fr-FR"/>
              </w:rPr>
              <w:t>ais encore une fois</w:t>
            </w:r>
            <w:r w:rsidR="009236DB">
              <w:rPr>
                <w:lang w:val="fr-FR"/>
              </w:rPr>
              <w:t xml:space="preserve">, il n'existe </w:t>
            </w:r>
            <w:r w:rsidRPr="002B5BF8">
              <w:rPr>
                <w:lang w:val="fr-FR"/>
              </w:rPr>
              <w:t xml:space="preserve">pas de consensus </w:t>
            </w:r>
            <w:r w:rsidR="009236DB">
              <w:rPr>
                <w:lang w:val="fr-FR"/>
              </w:rPr>
              <w:t xml:space="preserve">au niveau </w:t>
            </w:r>
            <w:r w:rsidRPr="002B5BF8">
              <w:rPr>
                <w:lang w:val="fr-FR"/>
              </w:rPr>
              <w:t>mondia</w:t>
            </w:r>
            <w:r w:rsidR="00AD0843">
              <w:rPr>
                <w:lang w:val="fr-FR"/>
              </w:rPr>
              <w:t xml:space="preserve">l sur ce paramètre (entre </w:t>
            </w:r>
            <w:r w:rsidRPr="002B5BF8">
              <w:rPr>
                <w:lang w:val="fr-FR"/>
              </w:rPr>
              <w:t>5 à 10%</w:t>
            </w:r>
            <w:r w:rsidR="00AD0843">
              <w:rPr>
                <w:lang w:val="fr-FR"/>
              </w:rPr>
              <w:t xml:space="preserve"> suivant les cas)</w:t>
            </w:r>
            <w:r w:rsidRPr="002B5BF8">
              <w:rPr>
                <w:lang w:val="fr-FR"/>
              </w:rPr>
              <w:t>.</w:t>
            </w:r>
          </w:p>
          <w:p w14:paraId="22664AC3" w14:textId="77777777" w:rsidR="006E7BC9" w:rsidRPr="002B5BF8" w:rsidRDefault="006E7BC9" w:rsidP="006E7BC9">
            <w:pPr>
              <w:pStyle w:val="TableParagraph"/>
              <w:ind w:left="103" w:right="528"/>
              <w:rPr>
                <w:lang w:val="fr-FR"/>
              </w:rPr>
            </w:pPr>
          </w:p>
          <w:p w14:paraId="494ED223" w14:textId="234BB075" w:rsidR="006E7BC9" w:rsidRPr="002B5BF8" w:rsidRDefault="006E7BC9" w:rsidP="009236DB">
            <w:pPr>
              <w:pStyle w:val="TableParagraph"/>
              <w:ind w:right="528"/>
              <w:rPr>
                <w:lang w:val="fr-FR"/>
              </w:rPr>
            </w:pPr>
            <w:r w:rsidRPr="002B5BF8">
              <w:rPr>
                <w:lang w:val="fr-FR"/>
              </w:rPr>
              <w:t>Le</w:t>
            </w:r>
            <w:r w:rsidR="003C66D2">
              <w:rPr>
                <w:lang w:val="fr-FR"/>
              </w:rPr>
              <w:t xml:space="preserve">s spécifications des </w:t>
            </w:r>
            <w:r w:rsidR="00D76474">
              <w:rPr>
                <w:lang w:val="fr-FR"/>
              </w:rPr>
              <w:t xml:space="preserve">disponibilités </w:t>
            </w:r>
            <w:r w:rsidR="003C66D2">
              <w:rPr>
                <w:lang w:val="fr-FR"/>
              </w:rPr>
              <w:t>prévu</w:t>
            </w:r>
            <w:r w:rsidR="00D76474">
              <w:rPr>
                <w:lang w:val="fr-FR"/>
              </w:rPr>
              <w:t>e</w:t>
            </w:r>
            <w:r w:rsidRPr="002B5BF8">
              <w:rPr>
                <w:lang w:val="fr-FR"/>
              </w:rPr>
              <w:t>s devraient également être exam</w:t>
            </w:r>
            <w:r w:rsidR="00AD0843">
              <w:rPr>
                <w:lang w:val="fr-FR"/>
              </w:rPr>
              <w:t>inées afin de veiller à ce qu'elle</w:t>
            </w:r>
            <w:r w:rsidRPr="002B5BF8">
              <w:rPr>
                <w:lang w:val="fr-FR"/>
              </w:rPr>
              <w:t>s soient conformes aux normes nationales pour les produits de nutrition.</w:t>
            </w:r>
          </w:p>
          <w:p w14:paraId="6FE06480" w14:textId="77777777" w:rsidR="006E7BC9" w:rsidRPr="002B5BF8" w:rsidRDefault="006E7BC9" w:rsidP="006E7BC9">
            <w:pPr>
              <w:pStyle w:val="TableParagraph"/>
              <w:ind w:left="103" w:right="528"/>
              <w:rPr>
                <w:lang w:val="fr-FR"/>
              </w:rPr>
            </w:pPr>
          </w:p>
          <w:p w14:paraId="0E7C6FE6" w14:textId="5DF03871" w:rsidR="00D4302A" w:rsidRPr="00153B6F" w:rsidRDefault="006E7BC9" w:rsidP="00153B6F">
            <w:pPr>
              <w:pStyle w:val="TableParagraph"/>
              <w:ind w:right="367"/>
              <w:rPr>
                <w:i/>
                <w:lang w:val="fr-FR"/>
              </w:rPr>
            </w:pPr>
            <w:r w:rsidRPr="00153B6F">
              <w:rPr>
                <w:i/>
                <w:lang w:val="fr-FR"/>
              </w:rPr>
              <w:t>Certaines ressources qui peuvent être d'une certaine utilité pour l'esti</w:t>
            </w:r>
            <w:r w:rsidR="00153B6F">
              <w:rPr>
                <w:i/>
                <w:lang w:val="fr-FR"/>
              </w:rPr>
              <w:t>mation des coûts comprennent</w:t>
            </w:r>
            <w:r w:rsidR="00507B77">
              <w:rPr>
                <w:i/>
                <w:lang w:val="fr-FR"/>
              </w:rPr>
              <w:t xml:space="preserve"> </w:t>
            </w:r>
            <w:r w:rsidR="00153B6F">
              <w:rPr>
                <w:i/>
                <w:lang w:val="fr-FR"/>
              </w:rPr>
              <w:t>: S</w:t>
            </w:r>
            <w:r w:rsidR="00D76474">
              <w:rPr>
                <w:i/>
                <w:lang w:val="fr-FR"/>
              </w:rPr>
              <w:t>AM</w:t>
            </w:r>
            <w:r w:rsidR="00507B77">
              <w:rPr>
                <w:i/>
                <w:lang w:val="fr-FR"/>
              </w:rPr>
              <w:t xml:space="preserve"> </w:t>
            </w:r>
            <w:r w:rsidRPr="00153B6F">
              <w:rPr>
                <w:i/>
                <w:lang w:val="fr-FR"/>
              </w:rPr>
              <w:t>: outil de prévision PCMA UNICEF, outil de prévision PCMA</w:t>
            </w:r>
            <w:r w:rsidR="00153B6F">
              <w:rPr>
                <w:i/>
                <w:lang w:val="fr-FR"/>
              </w:rPr>
              <w:t xml:space="preserve"> </w:t>
            </w:r>
            <w:r w:rsidR="00153B6F" w:rsidRPr="00153B6F">
              <w:rPr>
                <w:i/>
                <w:lang w:val="fr-FR"/>
              </w:rPr>
              <w:t>FANTA</w:t>
            </w:r>
          </w:p>
        </w:tc>
      </w:tr>
    </w:tbl>
    <w:p w14:paraId="0B583DA6" w14:textId="77777777" w:rsidR="00D4302A" w:rsidRPr="002B5BF8" w:rsidRDefault="00D4302A" w:rsidP="008921E4">
      <w:pPr>
        <w:spacing w:before="2"/>
        <w:rPr>
          <w:lang w:val="fr-FR"/>
        </w:rPr>
        <w:sectPr w:rsidR="00D4302A" w:rsidRPr="002B5BF8">
          <w:headerReference w:type="default" r:id="rId11"/>
          <w:footerReference w:type="default" r:id="rId12"/>
          <w:type w:val="continuous"/>
          <w:pgSz w:w="16840" w:h="11910" w:orient="landscape"/>
          <w:pgMar w:top="1140" w:right="600" w:bottom="1420" w:left="600" w:header="941" w:footer="1234" w:gutter="0"/>
          <w:pgNumType w:start="1"/>
          <w:cols w:space="720"/>
        </w:sect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0"/>
        <w:gridCol w:w="13107"/>
      </w:tblGrid>
      <w:tr w:rsidR="006E7BC9" w:rsidRPr="00C66B96" w14:paraId="18403FDF" w14:textId="77777777" w:rsidTr="008E0E1B">
        <w:trPr>
          <w:trHeight w:hRule="exact" w:val="1796"/>
        </w:trPr>
        <w:tc>
          <w:tcPr>
            <w:tcW w:w="2310" w:type="dxa"/>
            <w:tcBorders>
              <w:bottom w:val="single" w:sz="4" w:space="0" w:color="FFFFFF" w:themeColor="background1"/>
            </w:tcBorders>
          </w:tcPr>
          <w:p w14:paraId="44B18C21" w14:textId="77777777" w:rsidR="006E7BC9" w:rsidRPr="002B5BF8" w:rsidRDefault="006E7BC9" w:rsidP="006E7BC9">
            <w:pPr>
              <w:pStyle w:val="TableParagraph"/>
              <w:spacing w:before="100" w:beforeAutospacing="1" w:after="100" w:afterAutospacing="1"/>
              <w:ind w:left="352" w:right="227" w:hanging="108"/>
              <w:rPr>
                <w:b/>
                <w:lang w:val="fr-FR"/>
              </w:rPr>
            </w:pPr>
            <w:r w:rsidRPr="002B5BF8">
              <w:rPr>
                <w:b/>
                <w:lang w:val="fr-FR"/>
              </w:rPr>
              <w:lastRenderedPageBreak/>
              <w:t>INVENTAIRE ET</w:t>
            </w:r>
            <w:r w:rsidR="00830138">
              <w:rPr>
                <w:b/>
                <w:lang w:val="fr-FR"/>
              </w:rPr>
              <w:t xml:space="preserve"> CARTOGRAPHIE DU MATERIEL DEJA DISPONIBLE</w:t>
            </w:r>
          </w:p>
        </w:tc>
        <w:tc>
          <w:tcPr>
            <w:tcW w:w="13107" w:type="dxa"/>
            <w:vMerge w:val="restart"/>
          </w:tcPr>
          <w:p w14:paraId="6A59A50D" w14:textId="77777777" w:rsidR="006E7BC9" w:rsidRPr="002B5BF8" w:rsidRDefault="006E7BC9" w:rsidP="006E7BC9">
            <w:pPr>
              <w:pStyle w:val="TableParagraph"/>
              <w:ind w:left="103" w:right="102"/>
              <w:rPr>
                <w:lang w:val="fr-FR"/>
              </w:rPr>
            </w:pPr>
            <w:r w:rsidRPr="002B5BF8">
              <w:rPr>
                <w:lang w:val="fr-FR"/>
              </w:rPr>
              <w:t>Le syst</w:t>
            </w:r>
            <w:r w:rsidR="00974872">
              <w:rPr>
                <w:lang w:val="fr-FR"/>
              </w:rPr>
              <w:t>ème d'inventaire des intrants</w:t>
            </w:r>
            <w:r w:rsidRPr="002B5BF8">
              <w:rPr>
                <w:lang w:val="fr-FR"/>
              </w:rPr>
              <w:t xml:space="preserve"> disponibles dans le pays peut être très simple. L'information </w:t>
            </w:r>
            <w:r w:rsidR="00153B6F">
              <w:rPr>
                <w:lang w:val="fr-FR"/>
              </w:rPr>
              <w:t>devrait être</w:t>
            </w:r>
            <w:r w:rsidRPr="002B5BF8">
              <w:rPr>
                <w:lang w:val="fr-FR"/>
              </w:rPr>
              <w:t xml:space="preserve"> régulièrement mis</w:t>
            </w:r>
            <w:r w:rsidR="00153B6F">
              <w:rPr>
                <w:lang w:val="fr-FR"/>
              </w:rPr>
              <w:t>e</w:t>
            </w:r>
            <w:r w:rsidRPr="002B5BF8">
              <w:rPr>
                <w:lang w:val="fr-FR"/>
              </w:rPr>
              <w:t xml:space="preserve"> à jour, car la situation peut changer rapidement. Idéalement, </w:t>
            </w:r>
            <w:r w:rsidR="00153B6F">
              <w:rPr>
                <w:lang w:val="fr-FR"/>
              </w:rPr>
              <w:t xml:space="preserve">pour consolider les </w:t>
            </w:r>
            <w:r w:rsidRPr="002B5BF8">
              <w:rPr>
                <w:lang w:val="fr-FR"/>
              </w:rPr>
              <w:t>information</w:t>
            </w:r>
            <w:r w:rsidR="00153B6F">
              <w:rPr>
                <w:lang w:val="fr-FR"/>
              </w:rPr>
              <w:t>s</w:t>
            </w:r>
            <w:r w:rsidRPr="002B5BF8">
              <w:rPr>
                <w:lang w:val="fr-FR"/>
              </w:rPr>
              <w:t xml:space="preserve"> </w:t>
            </w:r>
            <w:r w:rsidR="00153B6F">
              <w:rPr>
                <w:lang w:val="fr-FR"/>
              </w:rPr>
              <w:t>concernant</w:t>
            </w:r>
            <w:r w:rsidRPr="002B5BF8">
              <w:rPr>
                <w:lang w:val="fr-FR"/>
              </w:rPr>
              <w:t xml:space="preserve"> l'approvision</w:t>
            </w:r>
            <w:r w:rsidR="00AD0843">
              <w:rPr>
                <w:lang w:val="fr-FR"/>
              </w:rPr>
              <w:t xml:space="preserve">nement </w:t>
            </w:r>
            <w:r w:rsidR="00974872">
              <w:rPr>
                <w:lang w:val="fr-FR"/>
              </w:rPr>
              <w:t xml:space="preserve">des intrants </w:t>
            </w:r>
            <w:r w:rsidR="00153B6F">
              <w:rPr>
                <w:lang w:val="fr-FR"/>
              </w:rPr>
              <w:t xml:space="preserve">on devrait pouvoir facilement se baser sur les données </w:t>
            </w:r>
            <w:r w:rsidRPr="002B5BF8">
              <w:rPr>
                <w:lang w:val="fr-FR"/>
              </w:rPr>
              <w:t>extraites des rapports réguliers de l'</w:t>
            </w:r>
            <w:r w:rsidR="00AD0843">
              <w:rPr>
                <w:lang w:val="fr-FR"/>
              </w:rPr>
              <w:t>organisation en question</w:t>
            </w:r>
            <w:r w:rsidRPr="002B5BF8">
              <w:rPr>
                <w:lang w:val="fr-FR"/>
              </w:rPr>
              <w:t xml:space="preserve">. Eléments </w:t>
            </w:r>
            <w:r w:rsidR="00AD0843" w:rsidRPr="002B5BF8">
              <w:rPr>
                <w:lang w:val="fr-FR"/>
              </w:rPr>
              <w:t>à</w:t>
            </w:r>
            <w:r w:rsidRPr="002B5BF8">
              <w:rPr>
                <w:lang w:val="fr-FR"/>
              </w:rPr>
              <w:t xml:space="preserve"> prendre en compte:</w:t>
            </w:r>
          </w:p>
          <w:p w14:paraId="0C1DE67A" w14:textId="4237C04F" w:rsidR="006E7BC9" w:rsidRPr="002B5BF8" w:rsidRDefault="006E7BC9" w:rsidP="006E7BC9">
            <w:pPr>
              <w:pStyle w:val="TableParagraph"/>
              <w:ind w:left="993" w:right="102"/>
              <w:rPr>
                <w:lang w:val="fr-FR"/>
              </w:rPr>
            </w:pPr>
            <w:r w:rsidRPr="002B5BF8">
              <w:rPr>
                <w:lang w:val="fr-FR"/>
              </w:rPr>
              <w:t xml:space="preserve">• </w:t>
            </w:r>
            <w:r w:rsidR="00AD0843">
              <w:rPr>
                <w:lang w:val="fr-FR"/>
              </w:rPr>
              <w:t>Organisation</w:t>
            </w:r>
            <w:r w:rsidR="00507B77">
              <w:rPr>
                <w:lang w:val="fr-FR"/>
              </w:rPr>
              <w:t xml:space="preserve"> </w:t>
            </w:r>
            <w:r w:rsidRPr="002B5BF8">
              <w:rPr>
                <w:lang w:val="fr-FR"/>
              </w:rPr>
              <w:t>;</w:t>
            </w:r>
          </w:p>
          <w:p w14:paraId="721F885F" w14:textId="6FD978DA" w:rsidR="006E7BC9" w:rsidRPr="002B5BF8" w:rsidRDefault="006E7BC9" w:rsidP="006E7BC9">
            <w:pPr>
              <w:pStyle w:val="TableParagraph"/>
              <w:ind w:left="993" w:right="102"/>
              <w:rPr>
                <w:lang w:val="fr-FR"/>
              </w:rPr>
            </w:pPr>
            <w:r w:rsidRPr="002B5BF8">
              <w:rPr>
                <w:lang w:val="fr-FR"/>
              </w:rPr>
              <w:t>• Localisation (niveau national ou sous-national)</w:t>
            </w:r>
            <w:r w:rsidR="00507B77">
              <w:rPr>
                <w:lang w:val="fr-FR"/>
              </w:rPr>
              <w:t xml:space="preserve"> </w:t>
            </w:r>
            <w:r w:rsidRPr="002B5BF8">
              <w:rPr>
                <w:lang w:val="fr-FR"/>
              </w:rPr>
              <w:t>;</w:t>
            </w:r>
          </w:p>
          <w:p w14:paraId="3EBF8B3D" w14:textId="04FE4174" w:rsidR="006E7BC9" w:rsidRPr="002B5BF8" w:rsidRDefault="00DE242C" w:rsidP="006E7BC9">
            <w:pPr>
              <w:pStyle w:val="TableParagraph"/>
              <w:ind w:left="993" w:right="102"/>
              <w:rPr>
                <w:lang w:val="fr-FR"/>
              </w:rPr>
            </w:pPr>
            <w:r>
              <w:rPr>
                <w:lang w:val="fr-FR"/>
              </w:rPr>
              <w:t>• Intrants</w:t>
            </w:r>
            <w:r w:rsidR="006E7BC9" w:rsidRPr="002B5BF8">
              <w:rPr>
                <w:lang w:val="fr-FR"/>
              </w:rPr>
              <w:t xml:space="preserve"> disponibles par type (en utilisant une unité de mesure</w:t>
            </w:r>
            <w:r w:rsidR="00153B6F" w:rsidRPr="002B5BF8">
              <w:rPr>
                <w:lang w:val="fr-FR"/>
              </w:rPr>
              <w:t xml:space="preserve"> convenue</w:t>
            </w:r>
            <w:r w:rsidR="006E7BC9" w:rsidRPr="002B5BF8">
              <w:rPr>
                <w:lang w:val="fr-FR"/>
              </w:rPr>
              <w:t>)</w:t>
            </w:r>
            <w:r w:rsidR="00507B77">
              <w:rPr>
                <w:lang w:val="fr-FR"/>
              </w:rPr>
              <w:t xml:space="preserve"> </w:t>
            </w:r>
            <w:r w:rsidR="006E7BC9" w:rsidRPr="002B5BF8">
              <w:rPr>
                <w:lang w:val="fr-FR"/>
              </w:rPr>
              <w:t>;</w:t>
            </w:r>
          </w:p>
          <w:p w14:paraId="554D7E32" w14:textId="2921B52A" w:rsidR="006E7BC9" w:rsidRPr="002B5BF8" w:rsidRDefault="006E7BC9" w:rsidP="006E7BC9">
            <w:pPr>
              <w:pStyle w:val="TableParagraph"/>
              <w:ind w:left="993" w:right="102"/>
              <w:rPr>
                <w:lang w:val="fr-FR"/>
              </w:rPr>
            </w:pPr>
            <w:r w:rsidRPr="002B5BF8">
              <w:rPr>
                <w:lang w:val="fr-FR"/>
              </w:rPr>
              <w:t>• Combien de temps les stocks devraient dure</w:t>
            </w:r>
            <w:r w:rsidR="00A63813">
              <w:rPr>
                <w:lang w:val="fr-FR"/>
              </w:rPr>
              <w:t>r dans les conditions actuelles</w:t>
            </w:r>
            <w:r w:rsidRPr="002B5BF8">
              <w:rPr>
                <w:lang w:val="fr-FR"/>
              </w:rPr>
              <w:t>/ prévues (taux de consommation</w:t>
            </w:r>
            <w:r w:rsidR="00AD0843">
              <w:rPr>
                <w:lang w:val="fr-FR"/>
              </w:rPr>
              <w:t>,</w:t>
            </w:r>
            <w:r w:rsidRPr="002B5BF8">
              <w:rPr>
                <w:lang w:val="fr-FR"/>
              </w:rPr>
              <w:t xml:space="preserve"> par exemple</w:t>
            </w:r>
            <w:r w:rsidR="00AD0843">
              <w:rPr>
                <w:lang w:val="fr-FR"/>
              </w:rPr>
              <w:t>,</w:t>
            </w:r>
            <w:r w:rsidRPr="002B5BF8">
              <w:rPr>
                <w:lang w:val="fr-FR"/>
              </w:rPr>
              <w:t xml:space="preserve"> en moyenne par mois)</w:t>
            </w:r>
            <w:r w:rsidR="00507B77">
              <w:rPr>
                <w:lang w:val="fr-FR"/>
              </w:rPr>
              <w:t xml:space="preserve"> </w:t>
            </w:r>
            <w:r w:rsidRPr="002B5BF8">
              <w:rPr>
                <w:lang w:val="fr-FR"/>
              </w:rPr>
              <w:t>;</w:t>
            </w:r>
          </w:p>
          <w:p w14:paraId="18EF389B" w14:textId="77777777" w:rsidR="006E7BC9" w:rsidRPr="002B5BF8" w:rsidRDefault="006E7BC9" w:rsidP="006E7BC9">
            <w:pPr>
              <w:pStyle w:val="TableParagraph"/>
              <w:ind w:left="993" w:right="102"/>
              <w:rPr>
                <w:lang w:val="fr-FR"/>
              </w:rPr>
            </w:pPr>
            <w:r w:rsidRPr="002B5BF8">
              <w:rPr>
                <w:lang w:val="fr-FR"/>
              </w:rPr>
              <w:t>• Les plans d'approvisionnement et le temps de livraison prévu.</w:t>
            </w:r>
          </w:p>
          <w:p w14:paraId="2C5B5020" w14:textId="77777777" w:rsidR="006E7BC9" w:rsidRPr="002B5BF8" w:rsidRDefault="006E7BC9" w:rsidP="006E7BC9">
            <w:pPr>
              <w:pStyle w:val="TableParagraph"/>
              <w:ind w:left="103" w:right="102"/>
              <w:rPr>
                <w:lang w:val="fr-FR"/>
              </w:rPr>
            </w:pPr>
          </w:p>
          <w:p w14:paraId="461DAFD8" w14:textId="77777777" w:rsidR="006E7BC9" w:rsidRPr="002B5BF8" w:rsidRDefault="006E7BC9" w:rsidP="006E7BC9">
            <w:pPr>
              <w:pStyle w:val="TableParagraph"/>
              <w:ind w:left="103" w:right="102"/>
              <w:rPr>
                <w:lang w:val="fr-FR"/>
              </w:rPr>
            </w:pPr>
            <w:r w:rsidRPr="002B5BF8">
              <w:rPr>
                <w:lang w:val="fr-FR"/>
              </w:rPr>
              <w:t xml:space="preserve">Le gestionnaire de l’information et le CCN peuvent consolider cette information si nécessaire pour générer une image globale des ressources disponibles et </w:t>
            </w:r>
            <w:r w:rsidR="00AD0843" w:rsidRPr="002B5BF8">
              <w:rPr>
                <w:lang w:val="fr-FR"/>
              </w:rPr>
              <w:t>prévues</w:t>
            </w:r>
            <w:r w:rsidRPr="002B5BF8">
              <w:rPr>
                <w:lang w:val="fr-FR"/>
              </w:rPr>
              <w:t xml:space="preserve">. Une comparaison avec le PRH permettra de </w:t>
            </w:r>
            <w:r w:rsidR="0003140C" w:rsidRPr="002B5BF8">
              <w:rPr>
                <w:lang w:val="fr-FR"/>
              </w:rPr>
              <w:t>déterminer</w:t>
            </w:r>
            <w:r w:rsidRPr="002B5BF8">
              <w:rPr>
                <w:lang w:val="fr-FR"/>
              </w:rPr>
              <w:t xml:space="preserve"> clairement si c</w:t>
            </w:r>
            <w:r w:rsidR="00A63813">
              <w:rPr>
                <w:lang w:val="fr-FR"/>
              </w:rPr>
              <w:t>es intrants</w:t>
            </w:r>
            <w:r w:rsidR="00AD0843">
              <w:rPr>
                <w:lang w:val="fr-FR"/>
              </w:rPr>
              <w:t xml:space="preserve"> sont suffi</w:t>
            </w:r>
            <w:r w:rsidR="00A63813">
              <w:rPr>
                <w:lang w:val="fr-FR"/>
              </w:rPr>
              <w:t>sant</w:t>
            </w:r>
            <w:r w:rsidR="00AD0843">
              <w:rPr>
                <w:lang w:val="fr-FR"/>
              </w:rPr>
              <w:t>s.</w:t>
            </w:r>
          </w:p>
          <w:p w14:paraId="7BEFD199" w14:textId="77777777" w:rsidR="006E7BC9" w:rsidRPr="002B5BF8" w:rsidRDefault="006E7BC9" w:rsidP="006E7BC9">
            <w:pPr>
              <w:pStyle w:val="TableParagraph"/>
              <w:ind w:left="103" w:right="102"/>
              <w:rPr>
                <w:lang w:val="fr-FR"/>
              </w:rPr>
            </w:pPr>
          </w:p>
          <w:p w14:paraId="3A48DC82" w14:textId="77777777" w:rsidR="006E7BC9" w:rsidRPr="007204FC" w:rsidRDefault="006E7BC9" w:rsidP="00153B6F">
            <w:pPr>
              <w:pStyle w:val="TableParagraph"/>
              <w:ind w:left="103" w:right="250"/>
              <w:rPr>
                <w:i/>
                <w:sz w:val="24"/>
                <w:lang w:val="fr-FR"/>
              </w:rPr>
            </w:pPr>
            <w:r w:rsidRPr="007204FC">
              <w:rPr>
                <w:i/>
                <w:lang w:val="fr-FR"/>
              </w:rPr>
              <w:t>Les outils</w:t>
            </w:r>
            <w:r w:rsidR="00153B6F" w:rsidRPr="007204FC">
              <w:rPr>
                <w:i/>
                <w:lang w:val="fr-FR"/>
              </w:rPr>
              <w:t xml:space="preserve"> 3W / 4W </w:t>
            </w:r>
            <w:r w:rsidRPr="007204FC">
              <w:rPr>
                <w:i/>
                <w:lang w:val="fr-FR"/>
              </w:rPr>
              <w:t xml:space="preserve"> peuvent être utiles pour cette étape</w:t>
            </w:r>
            <w:r w:rsidR="00A63813" w:rsidRPr="007204FC">
              <w:rPr>
                <w:i/>
                <w:lang w:val="fr-FR"/>
              </w:rPr>
              <w:t>.</w:t>
            </w:r>
          </w:p>
        </w:tc>
      </w:tr>
      <w:tr w:rsidR="006E7BC9" w:rsidRPr="00C66B96" w14:paraId="3A81C5C3" w14:textId="77777777" w:rsidTr="008E0E1B">
        <w:trPr>
          <w:trHeight w:hRule="exact" w:val="258"/>
        </w:trPr>
        <w:tc>
          <w:tcPr>
            <w:tcW w:w="2310" w:type="dxa"/>
            <w:tcBorders>
              <w:top w:val="single" w:sz="4" w:space="0" w:color="FFFFFF" w:themeColor="background1"/>
              <w:bottom w:val="single" w:sz="4" w:space="0" w:color="FFFFFF" w:themeColor="background1"/>
            </w:tcBorders>
          </w:tcPr>
          <w:p w14:paraId="73DEFCEA" w14:textId="77777777" w:rsidR="006E7BC9" w:rsidRPr="002B5BF8" w:rsidRDefault="006E7BC9" w:rsidP="006E7BC9">
            <w:pPr>
              <w:pStyle w:val="TableParagraph"/>
              <w:ind w:right="227"/>
              <w:rPr>
                <w:b/>
                <w:lang w:val="fr-FR"/>
              </w:rPr>
            </w:pPr>
          </w:p>
        </w:tc>
        <w:tc>
          <w:tcPr>
            <w:tcW w:w="13107" w:type="dxa"/>
            <w:vMerge/>
          </w:tcPr>
          <w:p w14:paraId="4C9991F8" w14:textId="77777777" w:rsidR="006E7BC9" w:rsidRPr="002B5BF8" w:rsidRDefault="006E7BC9">
            <w:pPr>
              <w:rPr>
                <w:lang w:val="fr-FR"/>
              </w:rPr>
            </w:pPr>
          </w:p>
        </w:tc>
      </w:tr>
      <w:tr w:rsidR="006E7BC9" w:rsidRPr="00C66B96" w14:paraId="6ACC80A3" w14:textId="77777777" w:rsidTr="008E0E1B">
        <w:trPr>
          <w:trHeight w:hRule="exact" w:val="258"/>
        </w:trPr>
        <w:tc>
          <w:tcPr>
            <w:tcW w:w="2310" w:type="dxa"/>
            <w:tcBorders>
              <w:top w:val="single" w:sz="4" w:space="0" w:color="FFFFFF" w:themeColor="background1"/>
              <w:bottom w:val="single" w:sz="4" w:space="0" w:color="FFFFFF" w:themeColor="background1"/>
            </w:tcBorders>
          </w:tcPr>
          <w:p w14:paraId="1F8CAE8C" w14:textId="77777777" w:rsidR="006E7BC9" w:rsidRPr="002B5BF8" w:rsidRDefault="006E7BC9" w:rsidP="006E7BC9">
            <w:pPr>
              <w:pStyle w:val="TableParagraph"/>
              <w:ind w:left="350" w:right="227" w:hanging="108"/>
              <w:rPr>
                <w:b/>
                <w:lang w:val="fr-FR"/>
              </w:rPr>
            </w:pPr>
          </w:p>
        </w:tc>
        <w:tc>
          <w:tcPr>
            <w:tcW w:w="13107" w:type="dxa"/>
            <w:vMerge/>
          </w:tcPr>
          <w:p w14:paraId="7310E921" w14:textId="77777777" w:rsidR="006E7BC9" w:rsidRPr="002B5BF8" w:rsidRDefault="006E7BC9">
            <w:pPr>
              <w:rPr>
                <w:lang w:val="fr-FR"/>
              </w:rPr>
            </w:pPr>
          </w:p>
        </w:tc>
      </w:tr>
      <w:tr w:rsidR="006E7BC9" w:rsidRPr="00C66B96" w14:paraId="2782DE2E" w14:textId="77777777" w:rsidTr="008E0E1B">
        <w:trPr>
          <w:trHeight w:hRule="exact" w:val="1715"/>
        </w:trPr>
        <w:tc>
          <w:tcPr>
            <w:tcW w:w="2310" w:type="dxa"/>
            <w:tcBorders>
              <w:top w:val="single" w:sz="4" w:space="0" w:color="FFFFFF" w:themeColor="background1"/>
            </w:tcBorders>
          </w:tcPr>
          <w:p w14:paraId="426FCB8D" w14:textId="77777777" w:rsidR="006E7BC9" w:rsidRPr="002B5BF8" w:rsidRDefault="006E7BC9" w:rsidP="00153B6F">
            <w:pPr>
              <w:pStyle w:val="TableParagraph"/>
              <w:ind w:left="350" w:right="227" w:hanging="108"/>
              <w:rPr>
                <w:b/>
                <w:lang w:val="fr-FR"/>
              </w:rPr>
            </w:pPr>
          </w:p>
        </w:tc>
        <w:tc>
          <w:tcPr>
            <w:tcW w:w="13107" w:type="dxa"/>
            <w:vMerge/>
          </w:tcPr>
          <w:p w14:paraId="55E0AE12" w14:textId="77777777" w:rsidR="006E7BC9" w:rsidRPr="002B5BF8" w:rsidRDefault="006E7BC9">
            <w:pPr>
              <w:rPr>
                <w:lang w:val="fr-FR"/>
              </w:rPr>
            </w:pPr>
          </w:p>
        </w:tc>
      </w:tr>
      <w:tr w:rsidR="005667C0" w:rsidRPr="00C66B96" w14:paraId="4D220AB8" w14:textId="77777777" w:rsidTr="008E0E1B">
        <w:trPr>
          <w:trHeight w:hRule="exact" w:val="515"/>
        </w:trPr>
        <w:tc>
          <w:tcPr>
            <w:tcW w:w="2310" w:type="dxa"/>
            <w:tcBorders>
              <w:bottom w:val="single" w:sz="4" w:space="0" w:color="FFFFFF" w:themeColor="background1"/>
            </w:tcBorders>
          </w:tcPr>
          <w:p w14:paraId="629244EE" w14:textId="77777777" w:rsidR="005667C0" w:rsidRPr="002B5BF8" w:rsidRDefault="005667C0">
            <w:pPr>
              <w:rPr>
                <w:lang w:val="fr-FR"/>
              </w:rPr>
            </w:pPr>
          </w:p>
        </w:tc>
        <w:tc>
          <w:tcPr>
            <w:tcW w:w="13107" w:type="dxa"/>
            <w:tcBorders>
              <w:bottom w:val="single" w:sz="4" w:space="0" w:color="FFFFFF" w:themeColor="background1"/>
            </w:tcBorders>
          </w:tcPr>
          <w:p w14:paraId="206B3D79" w14:textId="77777777" w:rsidR="005667C0" w:rsidRPr="002B5BF8" w:rsidRDefault="005667C0" w:rsidP="005667C0">
            <w:pPr>
              <w:pStyle w:val="TableParagraph"/>
              <w:ind w:left="103" w:right="250"/>
              <w:rPr>
                <w:lang w:val="fr-FR"/>
              </w:rPr>
            </w:pPr>
            <w:r w:rsidRPr="002B5BF8">
              <w:rPr>
                <w:lang w:val="fr-FR"/>
              </w:rPr>
              <w:t>Une fois que les lacunes immédiat</w:t>
            </w:r>
            <w:r w:rsidR="00A96F34">
              <w:rPr>
                <w:lang w:val="fr-FR"/>
              </w:rPr>
              <w:t>es et à moyen terme sont clairement définies</w:t>
            </w:r>
            <w:r w:rsidRPr="002B5BF8">
              <w:rPr>
                <w:lang w:val="fr-FR"/>
              </w:rPr>
              <w:t>, le CCN et les partenaires du Cluster Nutrition doivent</w:t>
            </w:r>
            <w:r w:rsidR="00153B6F">
              <w:rPr>
                <w:lang w:val="fr-FR"/>
              </w:rPr>
              <w:t xml:space="preserve"> déterminer </w:t>
            </w:r>
            <w:r w:rsidRPr="002B5BF8">
              <w:rPr>
                <w:lang w:val="fr-FR"/>
              </w:rPr>
              <w:t>comment gérer, en groupe, ces</w:t>
            </w:r>
            <w:r w:rsidR="00A96F34">
              <w:rPr>
                <w:lang w:val="fr-FR"/>
              </w:rPr>
              <w:t xml:space="preserve"> besoins en intrants</w:t>
            </w:r>
            <w:r w:rsidR="00A96F34" w:rsidRPr="002B5BF8">
              <w:rPr>
                <w:lang w:val="fr-FR"/>
              </w:rPr>
              <w:t xml:space="preserve"> et en équipement.</w:t>
            </w:r>
          </w:p>
        </w:tc>
      </w:tr>
      <w:tr w:rsidR="005667C0" w:rsidRPr="00C66B96" w14:paraId="6CFE4D05" w14:textId="77777777" w:rsidTr="008E0E1B">
        <w:trPr>
          <w:trHeight w:hRule="exact" w:val="314"/>
        </w:trPr>
        <w:tc>
          <w:tcPr>
            <w:tcW w:w="2310" w:type="dxa"/>
            <w:tcBorders>
              <w:top w:val="single" w:sz="4" w:space="0" w:color="FFFFFF" w:themeColor="background1"/>
              <w:bottom w:val="single" w:sz="4" w:space="0" w:color="FFFFFF" w:themeColor="background1"/>
            </w:tcBorders>
          </w:tcPr>
          <w:p w14:paraId="2E0224CA" w14:textId="77777777" w:rsidR="005667C0" w:rsidRPr="002B5BF8" w:rsidRDefault="005667C0">
            <w:pPr>
              <w:rPr>
                <w:lang w:val="fr-FR"/>
              </w:rPr>
            </w:pPr>
          </w:p>
        </w:tc>
        <w:tc>
          <w:tcPr>
            <w:tcW w:w="13107" w:type="dxa"/>
            <w:tcBorders>
              <w:top w:val="single" w:sz="4" w:space="0" w:color="FFFFFF" w:themeColor="background1"/>
              <w:bottom w:val="single" w:sz="4" w:space="0" w:color="FFFFFF" w:themeColor="background1"/>
            </w:tcBorders>
          </w:tcPr>
          <w:p w14:paraId="234A1B19" w14:textId="77777777" w:rsidR="005667C0" w:rsidRPr="002B5BF8" w:rsidRDefault="00153B6F" w:rsidP="00A96F34">
            <w:pPr>
              <w:pStyle w:val="TableParagraph"/>
              <w:spacing w:line="247" w:lineRule="exact"/>
              <w:ind w:right="250"/>
              <w:rPr>
                <w:lang w:val="fr-FR"/>
              </w:rPr>
            </w:pPr>
            <w:r>
              <w:rPr>
                <w:lang w:val="fr-FR"/>
              </w:rPr>
              <w:t xml:space="preserve"> </w:t>
            </w:r>
          </w:p>
        </w:tc>
      </w:tr>
      <w:tr w:rsidR="005667C0" w:rsidRPr="00C66B96" w14:paraId="4FD80A5D" w14:textId="77777777" w:rsidTr="008E0E1B">
        <w:trPr>
          <w:trHeight w:hRule="exact" w:val="1142"/>
        </w:trPr>
        <w:tc>
          <w:tcPr>
            <w:tcW w:w="2310" w:type="dxa"/>
            <w:tcBorders>
              <w:top w:val="single" w:sz="4" w:space="0" w:color="FFFFFF" w:themeColor="background1"/>
              <w:bottom w:val="nil"/>
            </w:tcBorders>
          </w:tcPr>
          <w:p w14:paraId="72DDA8D5" w14:textId="77777777" w:rsidR="005667C0" w:rsidRPr="002B5BF8" w:rsidRDefault="005667C0" w:rsidP="0003140C">
            <w:pPr>
              <w:pStyle w:val="TableParagraph"/>
              <w:spacing w:before="44"/>
              <w:ind w:right="250"/>
              <w:rPr>
                <w:b/>
                <w:lang w:val="fr-FR"/>
              </w:rPr>
            </w:pPr>
            <w:r w:rsidRPr="002B5BF8">
              <w:rPr>
                <w:b/>
                <w:lang w:val="fr-FR"/>
              </w:rPr>
              <w:t>GERER LES BESOINS EN EQUIPEMENT ET EN FOURNITURE</w:t>
            </w:r>
          </w:p>
        </w:tc>
        <w:tc>
          <w:tcPr>
            <w:tcW w:w="13107" w:type="dxa"/>
            <w:tcBorders>
              <w:top w:val="single" w:sz="4" w:space="0" w:color="FFFFFF" w:themeColor="background1"/>
              <w:bottom w:val="nil"/>
            </w:tcBorders>
          </w:tcPr>
          <w:p w14:paraId="3CA2E280" w14:textId="77777777" w:rsidR="005667C0" w:rsidRPr="002B5BF8" w:rsidRDefault="005667C0" w:rsidP="00153B6F">
            <w:pPr>
              <w:pStyle w:val="TableParagraph"/>
              <w:spacing w:before="171"/>
              <w:ind w:left="103" w:right="107"/>
              <w:rPr>
                <w:lang w:val="fr-FR"/>
              </w:rPr>
            </w:pPr>
            <w:r w:rsidRPr="002B5BF8">
              <w:rPr>
                <w:lang w:val="fr-FR"/>
              </w:rPr>
              <w:t xml:space="preserve">L'approvisionnement peut se faire </w:t>
            </w:r>
            <w:r w:rsidR="00AD0843">
              <w:rPr>
                <w:lang w:val="fr-FR"/>
              </w:rPr>
              <w:t>par le biais d’une organisation</w:t>
            </w:r>
            <w:r w:rsidRPr="002B5BF8">
              <w:rPr>
                <w:lang w:val="fr-FR"/>
              </w:rPr>
              <w:t xml:space="preserve"> </w:t>
            </w:r>
            <w:r w:rsidR="00153B6F">
              <w:rPr>
                <w:lang w:val="fr-FR"/>
              </w:rPr>
              <w:t xml:space="preserve">qui agit </w:t>
            </w:r>
            <w:r w:rsidRPr="002B5BF8">
              <w:rPr>
                <w:lang w:val="fr-FR"/>
              </w:rPr>
              <w:t>au nom des autres (l'UNICEF et le PAM peuvent</w:t>
            </w:r>
            <w:r w:rsidR="00153B6F">
              <w:rPr>
                <w:lang w:val="fr-FR"/>
              </w:rPr>
              <w:t>,</w:t>
            </w:r>
            <w:r w:rsidRPr="002B5BF8">
              <w:rPr>
                <w:lang w:val="fr-FR"/>
              </w:rPr>
              <w:t xml:space="preserve"> par exemple, </w:t>
            </w:r>
            <w:r w:rsidR="00CE2266">
              <w:rPr>
                <w:lang w:val="fr-FR"/>
              </w:rPr>
              <w:t>agir comme fournisseurs communs</w:t>
            </w:r>
            <w:r w:rsidRPr="002B5BF8">
              <w:rPr>
                <w:lang w:val="fr-FR"/>
              </w:rPr>
              <w:t xml:space="preserve"> </w:t>
            </w:r>
            <w:r w:rsidR="00AD0843">
              <w:rPr>
                <w:lang w:val="fr-FR"/>
              </w:rPr>
              <w:t>et notamment</w:t>
            </w:r>
            <w:r w:rsidRPr="002B5BF8">
              <w:rPr>
                <w:lang w:val="fr-FR"/>
              </w:rPr>
              <w:t xml:space="preserve"> gérer les prêts transfrontaliers si nécessaire), par les organisatio</w:t>
            </w:r>
            <w:r w:rsidR="00CE2266">
              <w:rPr>
                <w:lang w:val="fr-FR"/>
              </w:rPr>
              <w:t>ns de manière individuelle, et à</w:t>
            </w:r>
            <w:r w:rsidRPr="002B5BF8">
              <w:rPr>
                <w:lang w:val="fr-FR"/>
              </w:rPr>
              <w:t xml:space="preserve"> travers des prêts entre les organisations </w:t>
            </w:r>
            <w:r w:rsidR="00153B6F">
              <w:rPr>
                <w:lang w:val="fr-FR"/>
              </w:rPr>
              <w:t>de</w:t>
            </w:r>
            <w:r w:rsidRPr="002B5BF8">
              <w:rPr>
                <w:lang w:val="fr-FR"/>
              </w:rPr>
              <w:t xml:space="preserve"> terrain pour faire face à des déficits à court terme.</w:t>
            </w:r>
          </w:p>
        </w:tc>
      </w:tr>
    </w:tbl>
    <w:p w14:paraId="2E125EAA" w14:textId="77777777" w:rsidR="00D4302A" w:rsidRPr="002B5BF8" w:rsidRDefault="00D4302A">
      <w:pPr>
        <w:spacing w:line="246" w:lineRule="exact"/>
        <w:rPr>
          <w:lang w:val="fr-FR"/>
        </w:rPr>
        <w:sectPr w:rsidR="00D4302A" w:rsidRPr="002B5BF8">
          <w:pgSz w:w="16840" w:h="11910" w:orient="landscape"/>
          <w:pgMar w:top="1140" w:right="600" w:bottom="1420" w:left="600" w:header="941" w:footer="1234" w:gutter="0"/>
          <w:cols w:space="720"/>
        </w:sectPr>
      </w:pPr>
    </w:p>
    <w:p w14:paraId="11C6612C" w14:textId="77777777" w:rsidR="00D4302A" w:rsidRPr="002B5BF8" w:rsidRDefault="00D4302A">
      <w:pPr>
        <w:pStyle w:val="BodyText"/>
        <w:rPr>
          <w:rFonts w:ascii="Times New Roman"/>
          <w:sz w:val="20"/>
          <w:lang w:val="fr-FR"/>
        </w:rPr>
      </w:pPr>
    </w:p>
    <w:p w14:paraId="028A9E6B" w14:textId="77777777" w:rsidR="00D4302A" w:rsidRPr="002B5BF8" w:rsidRDefault="00D4302A">
      <w:pPr>
        <w:pStyle w:val="BodyText"/>
        <w:spacing w:before="9"/>
        <w:rPr>
          <w:rFonts w:ascii="Times New Roman"/>
          <w:sz w:val="24"/>
          <w:lang w:val="fr-FR"/>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3390"/>
      </w:tblGrid>
      <w:tr w:rsidR="00D4302A" w:rsidRPr="00C66B96" w14:paraId="4CCE7D02" w14:textId="77777777" w:rsidTr="004B7238">
        <w:trPr>
          <w:trHeight w:hRule="exact" w:val="5028"/>
        </w:trPr>
        <w:tc>
          <w:tcPr>
            <w:tcW w:w="2027" w:type="dxa"/>
          </w:tcPr>
          <w:p w14:paraId="1AEC22A6" w14:textId="77777777" w:rsidR="00D4302A" w:rsidRPr="002B5BF8" w:rsidRDefault="00D4302A">
            <w:pPr>
              <w:rPr>
                <w:lang w:val="fr-FR"/>
              </w:rPr>
            </w:pPr>
          </w:p>
        </w:tc>
        <w:tc>
          <w:tcPr>
            <w:tcW w:w="13390" w:type="dxa"/>
          </w:tcPr>
          <w:p w14:paraId="6FFA017C" w14:textId="63B238CA" w:rsidR="00D4302A" w:rsidRPr="002B5BF8" w:rsidRDefault="005667C0" w:rsidP="005667C0">
            <w:pPr>
              <w:pStyle w:val="TableParagraph"/>
              <w:ind w:left="103" w:right="314"/>
              <w:rPr>
                <w:lang w:val="fr-FR"/>
              </w:rPr>
            </w:pPr>
            <w:r w:rsidRPr="002B5BF8">
              <w:rPr>
                <w:lang w:val="fr-FR"/>
              </w:rPr>
              <w:t>Chaque organisation a ses propres procédures d’approvisionnement, et le délai entre la commande</w:t>
            </w:r>
            <w:r w:rsidR="00292273">
              <w:rPr>
                <w:lang w:val="fr-FR"/>
              </w:rPr>
              <w:t xml:space="preserve"> et la réception des intrants</w:t>
            </w:r>
            <w:r w:rsidRPr="002B5BF8">
              <w:rPr>
                <w:lang w:val="fr-FR"/>
              </w:rPr>
              <w:t xml:space="preserve"> et du matériel peut varier sensiblement en fonction de certaines modalités spécifiques (transport par voie aérienne, maritime, achats locaux, etc</w:t>
            </w:r>
            <w:r w:rsidR="00292273">
              <w:rPr>
                <w:lang w:val="fr-FR"/>
              </w:rPr>
              <w:t>…</w:t>
            </w:r>
            <w:r w:rsidRPr="002B5BF8">
              <w:rPr>
                <w:lang w:val="fr-FR"/>
              </w:rPr>
              <w:t xml:space="preserve">). Le CCN devrait être conscient des ces différences </w:t>
            </w:r>
            <w:r w:rsidR="00153B6F">
              <w:rPr>
                <w:lang w:val="fr-FR"/>
              </w:rPr>
              <w:t>pour</w:t>
            </w:r>
            <w:r w:rsidRPr="002B5BF8">
              <w:rPr>
                <w:lang w:val="fr-FR"/>
              </w:rPr>
              <w:t xml:space="preserve"> pouvoir impliquer les partenaires de manière significative autour de la façon dont ces lacunes </w:t>
            </w:r>
            <w:r w:rsidR="00BB44A6" w:rsidRPr="002B5BF8">
              <w:rPr>
                <w:lang w:val="fr-FR"/>
              </w:rPr>
              <w:t>peuvent être comblées</w:t>
            </w:r>
            <w:r w:rsidRPr="002B5BF8">
              <w:rPr>
                <w:lang w:val="fr-FR"/>
              </w:rPr>
              <w:t xml:space="preserve">. Ceci comprend </w:t>
            </w:r>
            <w:r w:rsidR="00AD0843">
              <w:rPr>
                <w:lang w:val="fr-FR"/>
              </w:rPr>
              <w:t>l'identification d’</w:t>
            </w:r>
            <w:r w:rsidR="00292273">
              <w:rPr>
                <w:lang w:val="fr-FR"/>
              </w:rPr>
              <w:t>options pour obtenir les intrants</w:t>
            </w:r>
            <w:r w:rsidRPr="002B5BF8">
              <w:rPr>
                <w:lang w:val="fr-FR"/>
              </w:rPr>
              <w:t xml:space="preserve"> nécessaires (production</w:t>
            </w:r>
            <w:r w:rsidR="00BB44A6" w:rsidRPr="002B5BF8">
              <w:rPr>
                <w:lang w:val="fr-FR"/>
              </w:rPr>
              <w:t xml:space="preserve"> locale</w:t>
            </w:r>
            <w:r w:rsidRPr="002B5BF8">
              <w:rPr>
                <w:lang w:val="fr-FR"/>
              </w:rPr>
              <w:t xml:space="preserve">, partenaires, prêts transfrontaliers, achats </w:t>
            </w:r>
            <w:r w:rsidR="00153B6F" w:rsidRPr="002B5BF8">
              <w:rPr>
                <w:lang w:val="fr-FR"/>
              </w:rPr>
              <w:t>à</w:t>
            </w:r>
            <w:r w:rsidR="00BB44A6" w:rsidRPr="002B5BF8">
              <w:rPr>
                <w:lang w:val="fr-FR"/>
              </w:rPr>
              <w:t xml:space="preserve"> l’étranger, </w:t>
            </w:r>
            <w:r w:rsidR="00507B77" w:rsidRPr="002B5BF8">
              <w:rPr>
                <w:lang w:val="fr-FR"/>
              </w:rPr>
              <w:t>etc.</w:t>
            </w:r>
            <w:r w:rsidR="00AD0843">
              <w:rPr>
                <w:lang w:val="fr-FR"/>
              </w:rPr>
              <w:t>) et la prise en compte des</w:t>
            </w:r>
            <w:r w:rsidRPr="002B5BF8">
              <w:rPr>
                <w:lang w:val="fr-FR"/>
              </w:rPr>
              <w:t xml:space="preserve"> </w:t>
            </w:r>
            <w:r w:rsidR="00BB44A6" w:rsidRPr="002B5BF8">
              <w:rPr>
                <w:lang w:val="fr-FR"/>
              </w:rPr>
              <w:t xml:space="preserve">différences en termes </w:t>
            </w:r>
            <w:r w:rsidRPr="002B5BF8">
              <w:rPr>
                <w:lang w:val="fr-FR"/>
              </w:rPr>
              <w:t xml:space="preserve">de </w:t>
            </w:r>
            <w:r w:rsidR="00BB44A6" w:rsidRPr="002B5BF8">
              <w:rPr>
                <w:lang w:val="fr-FR"/>
              </w:rPr>
              <w:t>durée pour les différents modes</w:t>
            </w:r>
            <w:r w:rsidRPr="002B5BF8">
              <w:rPr>
                <w:lang w:val="fr-FR"/>
              </w:rPr>
              <w:t xml:space="preserve"> d'approvisionnement. Un temps suffisant pour </w:t>
            </w:r>
            <w:r w:rsidR="00BB44A6" w:rsidRPr="002B5BF8">
              <w:rPr>
                <w:lang w:val="fr-FR"/>
              </w:rPr>
              <w:t>les formalités</w:t>
            </w:r>
            <w:r w:rsidRPr="002B5BF8">
              <w:rPr>
                <w:lang w:val="fr-FR"/>
              </w:rPr>
              <w:t xml:space="preserve"> (telles que</w:t>
            </w:r>
            <w:r w:rsidR="00292273">
              <w:rPr>
                <w:lang w:val="fr-FR"/>
              </w:rPr>
              <w:t xml:space="preserve"> le dédouanement des intrants</w:t>
            </w:r>
            <w:r w:rsidRPr="002B5BF8">
              <w:rPr>
                <w:lang w:val="fr-FR"/>
              </w:rPr>
              <w:t xml:space="preserve"> conformément aux procédures nationales de contrôle de la qualité des importations) devrait également être pris en compte.</w:t>
            </w:r>
          </w:p>
          <w:p w14:paraId="6517F851" w14:textId="77777777" w:rsidR="005667C0" w:rsidRPr="002B5BF8" w:rsidRDefault="005667C0" w:rsidP="005667C0">
            <w:pPr>
              <w:pStyle w:val="TableParagraph"/>
              <w:spacing w:before="11"/>
              <w:rPr>
                <w:rFonts w:ascii="Times New Roman"/>
                <w:sz w:val="20"/>
                <w:lang w:val="fr-FR"/>
              </w:rPr>
            </w:pPr>
          </w:p>
          <w:p w14:paraId="639E2872" w14:textId="77777777" w:rsidR="00BB44A6" w:rsidRPr="002B5BF8" w:rsidRDefault="00292273" w:rsidP="00BB44A6">
            <w:pPr>
              <w:pStyle w:val="TableParagraph"/>
              <w:ind w:left="103" w:right="169"/>
              <w:jc w:val="both"/>
              <w:rPr>
                <w:lang w:val="fr-FR"/>
              </w:rPr>
            </w:pPr>
            <w:r>
              <w:rPr>
                <w:lang w:val="fr-FR"/>
              </w:rPr>
              <w:t xml:space="preserve">La préparation aux </w:t>
            </w:r>
            <w:r w:rsidR="00BB44A6" w:rsidRPr="002B5BF8">
              <w:rPr>
                <w:lang w:val="fr-FR"/>
              </w:rPr>
              <w:t>urgence</w:t>
            </w:r>
            <w:r>
              <w:rPr>
                <w:lang w:val="fr-FR"/>
              </w:rPr>
              <w:t>s</w:t>
            </w:r>
            <w:r w:rsidR="00BB44A6" w:rsidRPr="002B5BF8">
              <w:rPr>
                <w:lang w:val="fr-FR"/>
              </w:rPr>
              <w:t xml:space="preserve"> en situation de crise devrait être intégrée dans le processus de planification. Le Cluster Nutrition devrait envisager de constituer des stocks dans certaines régions si la situation sécuritaire semble imprévisible, si une réponse prolongée est prévue, si des fluctuations de l'offre et de la distribution et / ou des taux de consommation élevés semblent probables, et si l'infrastructure de transport est pauvre.</w:t>
            </w:r>
          </w:p>
          <w:p w14:paraId="45828244" w14:textId="77777777" w:rsidR="00BB44A6" w:rsidRPr="002B5BF8" w:rsidRDefault="00BB44A6" w:rsidP="00BB44A6">
            <w:pPr>
              <w:pStyle w:val="TableParagraph"/>
              <w:ind w:left="103" w:right="169"/>
              <w:jc w:val="both"/>
              <w:rPr>
                <w:lang w:val="fr-FR"/>
              </w:rPr>
            </w:pPr>
          </w:p>
          <w:p w14:paraId="3ACC5746" w14:textId="77777777" w:rsidR="00BB44A6" w:rsidRPr="002B5BF8" w:rsidRDefault="00BB44A6" w:rsidP="00BB44A6">
            <w:pPr>
              <w:pStyle w:val="TableParagraph"/>
              <w:ind w:left="103" w:right="169"/>
              <w:jc w:val="both"/>
              <w:rPr>
                <w:lang w:val="fr-FR"/>
              </w:rPr>
            </w:pPr>
            <w:r w:rsidRPr="002B5BF8">
              <w:rPr>
                <w:lang w:val="fr-FR"/>
              </w:rPr>
              <w:t xml:space="preserve">Le CNN et les partenaires du Cluster Nutrition devraient </w:t>
            </w:r>
            <w:r w:rsidR="00153B6F" w:rsidRPr="002B5BF8">
              <w:rPr>
                <w:lang w:val="fr-FR"/>
              </w:rPr>
              <w:t xml:space="preserve">régulièrement </w:t>
            </w:r>
            <w:r w:rsidRPr="002B5BF8">
              <w:rPr>
                <w:lang w:val="fr-FR"/>
              </w:rPr>
              <w:t>contrôler et ajuster les plans d'approvisionnement et de logistique en fonction de l'évolution des besoins, des niveaux de stocks, des modèles de distribution et d'utilisation, et des commentaires des partenaire</w:t>
            </w:r>
            <w:r w:rsidR="00577C8C" w:rsidRPr="002B5BF8">
              <w:rPr>
                <w:lang w:val="fr-FR"/>
              </w:rPr>
              <w:t>s du cluster</w:t>
            </w:r>
            <w:r w:rsidRPr="002B5BF8">
              <w:rPr>
                <w:lang w:val="fr-FR"/>
              </w:rPr>
              <w:t>.</w:t>
            </w:r>
          </w:p>
          <w:p w14:paraId="4C3CF9D6" w14:textId="77777777" w:rsidR="00BB44A6" w:rsidRPr="002B5BF8" w:rsidRDefault="00BB44A6" w:rsidP="00BB44A6">
            <w:pPr>
              <w:pStyle w:val="TableParagraph"/>
              <w:ind w:left="103" w:right="169"/>
              <w:jc w:val="both"/>
              <w:rPr>
                <w:lang w:val="fr-FR"/>
              </w:rPr>
            </w:pPr>
          </w:p>
          <w:p w14:paraId="5A4965AD" w14:textId="77777777" w:rsidR="00D4302A" w:rsidRPr="002B5BF8" w:rsidRDefault="00577C8C" w:rsidP="00153B6F">
            <w:pPr>
              <w:pStyle w:val="TableParagraph"/>
              <w:spacing w:before="1"/>
              <w:ind w:left="103" w:right="249"/>
              <w:rPr>
                <w:lang w:val="fr-FR"/>
              </w:rPr>
            </w:pPr>
            <w:r w:rsidRPr="002B5BF8">
              <w:rPr>
                <w:lang w:val="fr-FR"/>
              </w:rPr>
              <w:t>En cas de</w:t>
            </w:r>
            <w:r w:rsidR="00BB44A6" w:rsidRPr="002B5BF8">
              <w:rPr>
                <w:lang w:val="fr-FR"/>
              </w:rPr>
              <w:t xml:space="preserve"> panne réelle ou potentielle </w:t>
            </w:r>
            <w:r w:rsidRPr="002B5BF8">
              <w:rPr>
                <w:lang w:val="fr-FR"/>
              </w:rPr>
              <w:t>de l’approvisionnement</w:t>
            </w:r>
            <w:r w:rsidR="00BB44A6" w:rsidRPr="002B5BF8">
              <w:rPr>
                <w:lang w:val="fr-FR"/>
              </w:rPr>
              <w:t xml:space="preserve">, </w:t>
            </w:r>
            <w:r w:rsidRPr="002B5BF8">
              <w:rPr>
                <w:lang w:val="fr-FR"/>
              </w:rPr>
              <w:t xml:space="preserve">des </w:t>
            </w:r>
            <w:r w:rsidR="00A859D0">
              <w:rPr>
                <w:lang w:val="fr-FR"/>
              </w:rPr>
              <w:t>prêts d’intrants</w:t>
            </w:r>
            <w:r w:rsidR="00153B6F">
              <w:rPr>
                <w:lang w:val="fr-FR"/>
              </w:rPr>
              <w:t xml:space="preserve"> devront être </w:t>
            </w:r>
            <w:r w:rsidR="00153B6F" w:rsidRPr="002B5BF8">
              <w:rPr>
                <w:lang w:val="fr-FR"/>
              </w:rPr>
              <w:t>facilité</w:t>
            </w:r>
            <w:r w:rsidR="00153B6F">
              <w:rPr>
                <w:lang w:val="fr-FR"/>
              </w:rPr>
              <w:t>s e</w:t>
            </w:r>
            <w:r w:rsidR="00BB44A6" w:rsidRPr="002B5BF8">
              <w:rPr>
                <w:lang w:val="fr-FR"/>
              </w:rPr>
              <w:t>ntre les organis</w:t>
            </w:r>
            <w:r w:rsidRPr="002B5BF8">
              <w:rPr>
                <w:lang w:val="fr-FR"/>
              </w:rPr>
              <w:t>ations</w:t>
            </w:r>
            <w:r w:rsidR="00A859D0">
              <w:rPr>
                <w:lang w:val="fr-FR"/>
              </w:rPr>
              <w:t xml:space="preserve"> qui ont des intrants</w:t>
            </w:r>
            <w:r w:rsidR="00BB44A6" w:rsidRPr="002B5BF8">
              <w:rPr>
                <w:lang w:val="fr-FR"/>
              </w:rPr>
              <w:t xml:space="preserve"> supplémentaires </w:t>
            </w:r>
            <w:r w:rsidR="00153B6F">
              <w:rPr>
                <w:lang w:val="fr-FR"/>
              </w:rPr>
              <w:t xml:space="preserve">et </w:t>
            </w:r>
            <w:r w:rsidRPr="002B5BF8">
              <w:rPr>
                <w:lang w:val="fr-FR"/>
              </w:rPr>
              <w:t>ce</w:t>
            </w:r>
            <w:r w:rsidR="00153B6F">
              <w:rPr>
                <w:lang w:val="fr-FR"/>
              </w:rPr>
              <w:t>lles</w:t>
            </w:r>
            <w:r w:rsidRPr="002B5BF8">
              <w:rPr>
                <w:lang w:val="fr-FR"/>
              </w:rPr>
              <w:t xml:space="preserve"> dont </w:t>
            </w:r>
            <w:r w:rsidR="00153B6F">
              <w:rPr>
                <w:lang w:val="fr-FR"/>
              </w:rPr>
              <w:t xml:space="preserve">les programmes de </w:t>
            </w:r>
            <w:r w:rsidRPr="002B5BF8">
              <w:rPr>
                <w:lang w:val="fr-FR"/>
              </w:rPr>
              <w:t xml:space="preserve">nutrition </w:t>
            </w:r>
            <w:r w:rsidR="00153B6F">
              <w:rPr>
                <w:lang w:val="fr-FR"/>
              </w:rPr>
              <w:t>risquent d’être interrompus</w:t>
            </w:r>
            <w:r w:rsidR="00A859D0">
              <w:rPr>
                <w:lang w:val="fr-FR"/>
              </w:rPr>
              <w:t xml:space="preserve"> par manque d’intrants</w:t>
            </w:r>
            <w:r w:rsidRPr="002B5BF8">
              <w:rPr>
                <w:lang w:val="fr-FR"/>
              </w:rPr>
              <w:t>.</w:t>
            </w:r>
          </w:p>
        </w:tc>
      </w:tr>
      <w:tr w:rsidR="00D4302A" w:rsidRPr="00C66B96" w14:paraId="57117013" w14:textId="77777777" w:rsidTr="004B7238">
        <w:trPr>
          <w:trHeight w:hRule="exact" w:val="4972"/>
        </w:trPr>
        <w:tc>
          <w:tcPr>
            <w:tcW w:w="2027" w:type="dxa"/>
          </w:tcPr>
          <w:p w14:paraId="289E836E" w14:textId="77777777" w:rsidR="00D4302A" w:rsidRPr="002B5BF8" w:rsidRDefault="00D4302A">
            <w:pPr>
              <w:pStyle w:val="TableParagraph"/>
              <w:rPr>
                <w:rFonts w:ascii="Times New Roman"/>
                <w:lang w:val="fr-FR"/>
              </w:rPr>
            </w:pPr>
          </w:p>
          <w:p w14:paraId="6424D44C" w14:textId="77777777" w:rsidR="00D4302A" w:rsidRPr="002B5BF8" w:rsidRDefault="00D4302A">
            <w:pPr>
              <w:pStyle w:val="TableParagraph"/>
              <w:rPr>
                <w:rFonts w:ascii="Times New Roman"/>
                <w:lang w:val="fr-FR"/>
              </w:rPr>
            </w:pPr>
          </w:p>
          <w:p w14:paraId="73F1506E" w14:textId="77777777" w:rsidR="00D4302A" w:rsidRPr="002B5BF8" w:rsidRDefault="00D4302A">
            <w:pPr>
              <w:pStyle w:val="TableParagraph"/>
              <w:rPr>
                <w:rFonts w:ascii="Times New Roman"/>
                <w:lang w:val="fr-FR"/>
              </w:rPr>
            </w:pPr>
          </w:p>
          <w:p w14:paraId="0BA79096" w14:textId="77777777" w:rsidR="00D4302A" w:rsidRPr="002B5BF8" w:rsidRDefault="00D4302A">
            <w:pPr>
              <w:pStyle w:val="TableParagraph"/>
              <w:rPr>
                <w:rFonts w:ascii="Times New Roman"/>
                <w:lang w:val="fr-FR"/>
              </w:rPr>
            </w:pPr>
          </w:p>
          <w:p w14:paraId="36629173" w14:textId="77777777" w:rsidR="00D4302A" w:rsidRPr="002B5BF8" w:rsidRDefault="00D4302A">
            <w:pPr>
              <w:pStyle w:val="TableParagraph"/>
              <w:rPr>
                <w:rFonts w:ascii="Times New Roman"/>
                <w:lang w:val="fr-FR"/>
              </w:rPr>
            </w:pPr>
          </w:p>
          <w:p w14:paraId="7E72C323" w14:textId="77777777" w:rsidR="00D4302A" w:rsidRPr="002B5BF8" w:rsidRDefault="00D4302A">
            <w:pPr>
              <w:pStyle w:val="TableParagraph"/>
              <w:spacing w:before="10"/>
              <w:rPr>
                <w:rFonts w:ascii="Times New Roman"/>
                <w:sz w:val="31"/>
                <w:lang w:val="fr-FR"/>
              </w:rPr>
            </w:pPr>
          </w:p>
          <w:p w14:paraId="13B5182B" w14:textId="77777777" w:rsidR="00D4302A" w:rsidRPr="002B5BF8" w:rsidRDefault="004B7238">
            <w:pPr>
              <w:pStyle w:val="TableParagraph"/>
              <w:ind w:left="134" w:right="135" w:firstLine="4"/>
              <w:jc w:val="center"/>
              <w:rPr>
                <w:b/>
                <w:lang w:val="fr-FR"/>
              </w:rPr>
            </w:pPr>
            <w:r>
              <w:rPr>
                <w:b/>
                <w:lang w:val="fr-FR"/>
              </w:rPr>
              <w:t>AUTORISATION</w:t>
            </w:r>
            <w:r w:rsidR="002B5BF8" w:rsidRPr="002B5BF8">
              <w:rPr>
                <w:b/>
                <w:lang w:val="fr-FR"/>
              </w:rPr>
              <w:t>, TRANSPORT, STOCKAGE ET ÉLIMINATION</w:t>
            </w:r>
          </w:p>
        </w:tc>
        <w:tc>
          <w:tcPr>
            <w:tcW w:w="13390" w:type="dxa"/>
          </w:tcPr>
          <w:p w14:paraId="256CE63D" w14:textId="77777777" w:rsidR="002B5BF8" w:rsidRPr="007D563C" w:rsidRDefault="002B5BF8" w:rsidP="007D563C">
            <w:pPr>
              <w:pStyle w:val="TableParagraph"/>
              <w:spacing w:before="1"/>
              <w:ind w:left="103" w:right="190"/>
              <w:jc w:val="both"/>
              <w:rPr>
                <w:lang w:val="fr-FR"/>
              </w:rPr>
            </w:pPr>
            <w:r w:rsidRPr="007D563C">
              <w:rPr>
                <w:lang w:val="fr-FR"/>
              </w:rPr>
              <w:t>Le CCN n’aura pas un rôle de gestion en termes de réception et de transport, puisque c’est la responsabilité du personnel de l'</w:t>
            </w:r>
            <w:r w:rsidR="00AD0843" w:rsidRPr="007D563C">
              <w:rPr>
                <w:lang w:val="fr-FR"/>
              </w:rPr>
              <w:t>organisation</w:t>
            </w:r>
            <w:r w:rsidRPr="007D563C">
              <w:rPr>
                <w:lang w:val="fr-FR"/>
              </w:rPr>
              <w:t xml:space="preserve"> </w:t>
            </w:r>
            <w:r w:rsidR="00AD0843" w:rsidRPr="007D563C">
              <w:rPr>
                <w:lang w:val="fr-FR"/>
              </w:rPr>
              <w:t>en charge de livre</w:t>
            </w:r>
            <w:r w:rsidR="00F24F63" w:rsidRPr="007D563C">
              <w:rPr>
                <w:lang w:val="fr-FR"/>
              </w:rPr>
              <w:t>r</w:t>
            </w:r>
            <w:r w:rsidRPr="007D563C">
              <w:rPr>
                <w:lang w:val="fr-FR"/>
              </w:rPr>
              <w:t xml:space="preserve"> </w:t>
            </w:r>
            <w:r w:rsidR="00F24F63" w:rsidRPr="007D563C">
              <w:rPr>
                <w:lang w:val="fr-FR"/>
              </w:rPr>
              <w:t>le matériel</w:t>
            </w:r>
            <w:r w:rsidRPr="007D563C">
              <w:rPr>
                <w:lang w:val="fr-FR"/>
              </w:rPr>
              <w:t>. Cependant, le CCN doit veiller à ce que les questions liées à la logistique et à l</w:t>
            </w:r>
            <w:r w:rsidR="00896076">
              <w:rPr>
                <w:lang w:val="fr-FR"/>
              </w:rPr>
              <w:t>a gestion des intrants</w:t>
            </w:r>
            <w:r w:rsidRPr="007D563C">
              <w:rPr>
                <w:lang w:val="fr-FR"/>
              </w:rPr>
              <w:t xml:space="preserve"> soient abordées dans les discussions au niveau du cluster.</w:t>
            </w:r>
          </w:p>
          <w:p w14:paraId="5DC989FA" w14:textId="77777777" w:rsidR="002B5BF8" w:rsidRPr="007D563C" w:rsidRDefault="002B5BF8" w:rsidP="007D563C">
            <w:pPr>
              <w:pStyle w:val="TableParagraph"/>
              <w:spacing w:before="1"/>
              <w:ind w:left="103" w:right="190"/>
              <w:jc w:val="both"/>
              <w:rPr>
                <w:lang w:val="fr-FR"/>
              </w:rPr>
            </w:pPr>
          </w:p>
          <w:p w14:paraId="17BF112B" w14:textId="77777777" w:rsidR="002B5BF8" w:rsidRPr="007D563C" w:rsidRDefault="002B5BF8" w:rsidP="007D563C">
            <w:pPr>
              <w:pStyle w:val="TableParagraph"/>
              <w:spacing w:before="1"/>
              <w:ind w:left="103" w:right="190"/>
              <w:jc w:val="both"/>
              <w:rPr>
                <w:lang w:val="fr-FR"/>
              </w:rPr>
            </w:pPr>
            <w:r w:rsidRPr="007D563C">
              <w:rPr>
                <w:lang w:val="fr-FR"/>
              </w:rPr>
              <w:t>Les informations de base sur la bonne conservation des produits de nutrition devrai</w:t>
            </w:r>
            <w:r w:rsidR="003049DB" w:rsidRPr="007D563C">
              <w:rPr>
                <w:lang w:val="fr-FR"/>
              </w:rPr>
              <w:t>en</w:t>
            </w:r>
            <w:r w:rsidRPr="007D563C">
              <w:rPr>
                <w:lang w:val="fr-FR"/>
              </w:rPr>
              <w:t>t être largement partagée</w:t>
            </w:r>
            <w:r w:rsidR="003049DB" w:rsidRPr="007D563C">
              <w:rPr>
                <w:lang w:val="fr-FR"/>
              </w:rPr>
              <w:t xml:space="preserve">s pour </w:t>
            </w:r>
            <w:r w:rsidR="00F24F63" w:rsidRPr="007D563C">
              <w:rPr>
                <w:lang w:val="fr-FR"/>
              </w:rPr>
              <w:t>s’assurer</w:t>
            </w:r>
            <w:r w:rsidR="003049DB" w:rsidRPr="007D563C">
              <w:rPr>
                <w:lang w:val="fr-FR"/>
              </w:rPr>
              <w:t xml:space="preserve"> </w:t>
            </w:r>
            <w:r w:rsidR="00F24F63" w:rsidRPr="007D563C">
              <w:rPr>
                <w:lang w:val="fr-FR"/>
              </w:rPr>
              <w:t xml:space="preserve">qu’ils </w:t>
            </w:r>
            <w:r w:rsidR="003049DB" w:rsidRPr="007D563C">
              <w:rPr>
                <w:lang w:val="fr-FR"/>
              </w:rPr>
              <w:t xml:space="preserve">ne subissent </w:t>
            </w:r>
            <w:r w:rsidR="00F24F63" w:rsidRPr="007D563C">
              <w:rPr>
                <w:lang w:val="fr-FR"/>
              </w:rPr>
              <w:t xml:space="preserve">pas </w:t>
            </w:r>
            <w:r w:rsidR="003049DB" w:rsidRPr="007D563C">
              <w:rPr>
                <w:lang w:val="fr-FR"/>
              </w:rPr>
              <w:t xml:space="preserve">de dommages </w:t>
            </w:r>
            <w:r w:rsidRPr="007D563C">
              <w:rPr>
                <w:lang w:val="fr-FR"/>
              </w:rPr>
              <w:t>qui les rendraient inutilisables (</w:t>
            </w:r>
            <w:r w:rsidR="003049DB" w:rsidRPr="007D563C">
              <w:rPr>
                <w:lang w:val="fr-FR"/>
              </w:rPr>
              <w:t>une</w:t>
            </w:r>
            <w:r w:rsidRPr="007D563C">
              <w:rPr>
                <w:lang w:val="fr-FR"/>
              </w:rPr>
              <w:t xml:space="preserve"> chaleur élevée </w:t>
            </w:r>
            <w:r w:rsidR="003049DB" w:rsidRPr="007D563C">
              <w:rPr>
                <w:lang w:val="fr-FR"/>
              </w:rPr>
              <w:t xml:space="preserve">conduisant </w:t>
            </w:r>
            <w:r w:rsidRPr="007D563C">
              <w:rPr>
                <w:lang w:val="fr-FR"/>
              </w:rPr>
              <w:t>à la dégradation des micronutriments ou des changements dans les propriétés organoleptiques</w:t>
            </w:r>
            <w:r w:rsidR="003049DB" w:rsidRPr="007D563C">
              <w:rPr>
                <w:lang w:val="fr-FR"/>
              </w:rPr>
              <w:t>, par exemple</w:t>
            </w:r>
            <w:r w:rsidRPr="007D563C">
              <w:rPr>
                <w:lang w:val="fr-FR"/>
              </w:rPr>
              <w:t>).</w:t>
            </w:r>
          </w:p>
          <w:p w14:paraId="18024DD4" w14:textId="77777777" w:rsidR="002B5BF8" w:rsidRPr="007D563C" w:rsidRDefault="002B5BF8" w:rsidP="007D563C">
            <w:pPr>
              <w:pStyle w:val="TableParagraph"/>
              <w:spacing w:before="1"/>
              <w:ind w:left="103" w:right="190"/>
              <w:jc w:val="both"/>
              <w:rPr>
                <w:lang w:val="fr-FR"/>
              </w:rPr>
            </w:pPr>
          </w:p>
          <w:p w14:paraId="2B708221" w14:textId="77777777" w:rsidR="002B5BF8" w:rsidRPr="007D563C" w:rsidRDefault="003049DB" w:rsidP="007D563C">
            <w:pPr>
              <w:pStyle w:val="TableParagraph"/>
              <w:spacing w:before="1"/>
              <w:ind w:left="103" w:right="190"/>
              <w:jc w:val="both"/>
              <w:rPr>
                <w:lang w:val="fr-FR"/>
              </w:rPr>
            </w:pPr>
            <w:r w:rsidRPr="007D563C">
              <w:rPr>
                <w:lang w:val="fr-FR"/>
              </w:rPr>
              <w:t>Le</w:t>
            </w:r>
            <w:r w:rsidR="002B5BF8" w:rsidRPr="007D563C">
              <w:rPr>
                <w:lang w:val="fr-FR"/>
              </w:rPr>
              <w:t xml:space="preserve"> CCN doit également veiller à ce que l</w:t>
            </w:r>
            <w:r w:rsidRPr="007D563C">
              <w:rPr>
                <w:lang w:val="fr-FR"/>
              </w:rPr>
              <w:t xml:space="preserve">es procédures d'autorisation d'importation </w:t>
            </w:r>
            <w:r w:rsidR="002B5BF8" w:rsidRPr="007D563C">
              <w:rPr>
                <w:lang w:val="fr-FR"/>
              </w:rPr>
              <w:t xml:space="preserve">et </w:t>
            </w:r>
            <w:r w:rsidRPr="007D563C">
              <w:rPr>
                <w:lang w:val="fr-FR"/>
              </w:rPr>
              <w:t xml:space="preserve">de contrôle </w:t>
            </w:r>
            <w:r w:rsidR="002B5BF8" w:rsidRPr="007D563C">
              <w:rPr>
                <w:lang w:val="fr-FR"/>
              </w:rPr>
              <w:t>de la qualité des importations so</w:t>
            </w:r>
            <w:r w:rsidR="00F24F63" w:rsidRPr="007D563C">
              <w:rPr>
                <w:lang w:val="fr-FR"/>
              </w:rPr>
              <w:t>ie</w:t>
            </w:r>
            <w:r w:rsidR="002B5BF8" w:rsidRPr="007D563C">
              <w:rPr>
                <w:lang w:val="fr-FR"/>
              </w:rPr>
              <w:t xml:space="preserve">nt respectées par les partenaires du Cluster Nutrition, et que le système de contrôle qualité </w:t>
            </w:r>
            <w:r w:rsidR="00F24F63" w:rsidRPr="007D563C">
              <w:rPr>
                <w:lang w:val="fr-FR"/>
              </w:rPr>
              <w:t xml:space="preserve">soit </w:t>
            </w:r>
            <w:r w:rsidR="002B5BF8" w:rsidRPr="007D563C">
              <w:rPr>
                <w:lang w:val="fr-FR"/>
              </w:rPr>
              <w:t xml:space="preserve">fonctionnel. </w:t>
            </w:r>
            <w:r w:rsidR="00F24F63" w:rsidRPr="007D563C">
              <w:rPr>
                <w:lang w:val="fr-FR"/>
              </w:rPr>
              <w:t>Lorsqu’i</w:t>
            </w:r>
            <w:r w:rsidR="002B5BF8" w:rsidRPr="007D563C">
              <w:rPr>
                <w:lang w:val="fr-FR"/>
              </w:rPr>
              <w:t xml:space="preserve">l y a des retards </w:t>
            </w:r>
            <w:r w:rsidR="00F24F63" w:rsidRPr="007D563C">
              <w:rPr>
                <w:lang w:val="fr-FR"/>
              </w:rPr>
              <w:t>liés au</w:t>
            </w:r>
            <w:r w:rsidR="002B5BF8" w:rsidRPr="007D563C">
              <w:rPr>
                <w:lang w:val="fr-FR"/>
              </w:rPr>
              <w:t xml:space="preserve"> système de contrôle de la qualité</w:t>
            </w:r>
            <w:r w:rsidRPr="007D563C">
              <w:rPr>
                <w:lang w:val="fr-FR"/>
              </w:rPr>
              <w:t>, le CCN peut avoir besoin d’endosser</w:t>
            </w:r>
            <w:r w:rsidR="002B5BF8" w:rsidRPr="007D563C">
              <w:rPr>
                <w:lang w:val="fr-FR"/>
              </w:rPr>
              <w:t xml:space="preserve"> un rôle de plaidoyer au nom d'un partenaire spécifique, tandis que le Cluster Nutrit</w:t>
            </w:r>
            <w:r w:rsidRPr="007D563C">
              <w:rPr>
                <w:lang w:val="fr-FR"/>
              </w:rPr>
              <w:t>ion dans son ensemble pourrait être amené à</w:t>
            </w:r>
            <w:r w:rsidR="002B5BF8" w:rsidRPr="007D563C">
              <w:rPr>
                <w:lang w:val="fr-FR"/>
              </w:rPr>
              <w:t xml:space="preserve"> envisager d'intégrer des activités de renforcement des capacités </w:t>
            </w:r>
            <w:r w:rsidRPr="007D563C">
              <w:rPr>
                <w:lang w:val="fr-FR"/>
              </w:rPr>
              <w:t xml:space="preserve">dans la stratégie de réponse du Cluster nutrition pour </w:t>
            </w:r>
            <w:r w:rsidR="007D563C" w:rsidRPr="007D563C">
              <w:rPr>
                <w:lang w:val="fr-FR"/>
              </w:rPr>
              <w:t>faire l</w:t>
            </w:r>
            <w:r w:rsidRPr="007D563C">
              <w:rPr>
                <w:lang w:val="fr-FR"/>
              </w:rPr>
              <w:t>a</w:t>
            </w:r>
            <w:r w:rsidR="002B5BF8" w:rsidRPr="007D563C">
              <w:rPr>
                <w:lang w:val="fr-FR"/>
              </w:rPr>
              <w:t xml:space="preserve"> promotion des normes d'approvisionnement nationales et </w:t>
            </w:r>
            <w:r w:rsidR="007D563C" w:rsidRPr="007D563C">
              <w:rPr>
                <w:lang w:val="fr-FR"/>
              </w:rPr>
              <w:t xml:space="preserve">renforcer </w:t>
            </w:r>
            <w:r w:rsidR="002B5BF8" w:rsidRPr="007D563C">
              <w:rPr>
                <w:lang w:val="fr-FR"/>
              </w:rPr>
              <w:t xml:space="preserve">la capacité </w:t>
            </w:r>
            <w:r w:rsidR="007D563C" w:rsidRPr="007D563C">
              <w:rPr>
                <w:lang w:val="fr-FR"/>
              </w:rPr>
              <w:t>de l'autorité nationale en matière de</w:t>
            </w:r>
            <w:r w:rsidR="002B5BF8" w:rsidRPr="007D563C">
              <w:rPr>
                <w:lang w:val="fr-FR"/>
              </w:rPr>
              <w:t xml:space="preserve"> contrôle qualité.</w:t>
            </w:r>
          </w:p>
          <w:p w14:paraId="163CE3BD" w14:textId="77777777" w:rsidR="002B5BF8" w:rsidRPr="007D563C" w:rsidRDefault="002B5BF8" w:rsidP="007D563C">
            <w:pPr>
              <w:pStyle w:val="TableParagraph"/>
              <w:spacing w:before="1"/>
              <w:ind w:left="103" w:right="190"/>
              <w:jc w:val="both"/>
              <w:rPr>
                <w:lang w:val="fr-FR"/>
              </w:rPr>
            </w:pPr>
          </w:p>
          <w:p w14:paraId="38F98288" w14:textId="77777777" w:rsidR="00D4302A" w:rsidRPr="002B5BF8" w:rsidRDefault="002B5BF8" w:rsidP="007D563C">
            <w:pPr>
              <w:pStyle w:val="TableParagraph"/>
              <w:spacing w:before="1"/>
              <w:ind w:left="103" w:right="190"/>
              <w:jc w:val="both"/>
              <w:rPr>
                <w:lang w:val="fr-FR"/>
              </w:rPr>
            </w:pPr>
            <w:r w:rsidRPr="007D563C">
              <w:rPr>
                <w:lang w:val="fr-FR"/>
              </w:rPr>
              <w:t xml:space="preserve">Lorsqu'il </w:t>
            </w:r>
            <w:r w:rsidR="003049DB" w:rsidRPr="007D563C">
              <w:rPr>
                <w:lang w:val="fr-FR"/>
              </w:rPr>
              <w:t>devient nécessaire de se débarrasser</w:t>
            </w:r>
            <w:r w:rsidRPr="007D563C">
              <w:rPr>
                <w:lang w:val="fr-FR"/>
              </w:rPr>
              <w:t xml:space="preserve"> </w:t>
            </w:r>
            <w:r w:rsidR="003049DB" w:rsidRPr="007D563C">
              <w:rPr>
                <w:lang w:val="fr-FR"/>
              </w:rPr>
              <w:t>de certains</w:t>
            </w:r>
            <w:r w:rsidR="00214CA8">
              <w:rPr>
                <w:lang w:val="fr-FR"/>
              </w:rPr>
              <w:t xml:space="preserve"> intrants</w:t>
            </w:r>
            <w:r w:rsidRPr="007D563C">
              <w:rPr>
                <w:lang w:val="fr-FR"/>
              </w:rPr>
              <w:t xml:space="preserve"> de nutrition, la justification et le processus devrai</w:t>
            </w:r>
            <w:r w:rsidR="00214CA8">
              <w:rPr>
                <w:lang w:val="fr-FR"/>
              </w:rPr>
              <w:t>en</w:t>
            </w:r>
            <w:r w:rsidRPr="007D563C">
              <w:rPr>
                <w:lang w:val="fr-FR"/>
              </w:rPr>
              <w:t>t être très transparent</w:t>
            </w:r>
            <w:r w:rsidR="00214CA8">
              <w:rPr>
                <w:lang w:val="fr-FR"/>
              </w:rPr>
              <w:t>s</w:t>
            </w:r>
            <w:r w:rsidRPr="007D563C">
              <w:rPr>
                <w:lang w:val="fr-FR"/>
              </w:rPr>
              <w:t xml:space="preserve">. Dans certains cas, </w:t>
            </w:r>
            <w:r w:rsidR="003049DB" w:rsidRPr="007D563C">
              <w:rPr>
                <w:lang w:val="fr-FR"/>
              </w:rPr>
              <w:t>certains</w:t>
            </w:r>
            <w:r w:rsidRPr="007D563C">
              <w:rPr>
                <w:lang w:val="fr-FR"/>
              </w:rPr>
              <w:t xml:space="preserve"> produits spécifiques p</w:t>
            </w:r>
            <w:r w:rsidR="003049DB" w:rsidRPr="007D563C">
              <w:rPr>
                <w:lang w:val="fr-FR"/>
              </w:rPr>
              <w:t>ourraient</w:t>
            </w:r>
            <w:r w:rsidRPr="007D563C">
              <w:rPr>
                <w:lang w:val="fr-FR"/>
              </w:rPr>
              <w:t xml:space="preserve"> être utilisé</w:t>
            </w:r>
            <w:r w:rsidR="003049DB" w:rsidRPr="007D563C">
              <w:rPr>
                <w:lang w:val="fr-FR"/>
              </w:rPr>
              <w:t>s au lieu d’être jetés</w:t>
            </w:r>
            <w:r w:rsidRPr="007D563C">
              <w:rPr>
                <w:lang w:val="fr-FR"/>
              </w:rPr>
              <w:t xml:space="preserve">, mais cela dépendra de la capacité des partenaires et </w:t>
            </w:r>
            <w:r w:rsidR="00214CA8">
              <w:rPr>
                <w:lang w:val="fr-FR"/>
              </w:rPr>
              <w:t>de la faisabilité</w:t>
            </w:r>
            <w:r w:rsidR="003049DB" w:rsidRPr="007D563C">
              <w:rPr>
                <w:lang w:val="fr-FR"/>
              </w:rPr>
              <w:t xml:space="preserve"> d'un point de vue technique.</w:t>
            </w:r>
            <w:r w:rsidR="00214CA8">
              <w:rPr>
                <w:lang w:val="fr-FR"/>
              </w:rPr>
              <w:t xml:space="preserve"> </w:t>
            </w:r>
          </w:p>
        </w:tc>
      </w:tr>
    </w:tbl>
    <w:p w14:paraId="53056C7B" w14:textId="77777777" w:rsidR="00D4302A" w:rsidRPr="002B5BF8" w:rsidRDefault="00D4302A">
      <w:pPr>
        <w:pStyle w:val="BodyText"/>
        <w:rPr>
          <w:rFonts w:ascii="Times New Roman"/>
          <w:sz w:val="20"/>
          <w:lang w:val="fr-FR"/>
        </w:rPr>
      </w:pPr>
    </w:p>
    <w:p w14:paraId="121F93E3" w14:textId="77777777" w:rsidR="00D4302A" w:rsidRPr="002B5BF8" w:rsidRDefault="00D4302A">
      <w:pPr>
        <w:pStyle w:val="BodyText"/>
        <w:spacing w:before="9"/>
        <w:rPr>
          <w:rFonts w:ascii="Times New Roman"/>
          <w:sz w:val="24"/>
          <w:lang w:val="fr-FR"/>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3390"/>
      </w:tblGrid>
      <w:tr w:rsidR="00D4302A" w:rsidRPr="00C66B96" w14:paraId="76E1BBC8" w14:textId="77777777" w:rsidTr="000005F9">
        <w:trPr>
          <w:trHeight w:hRule="exact" w:val="506"/>
        </w:trPr>
        <w:tc>
          <w:tcPr>
            <w:tcW w:w="2027" w:type="dxa"/>
          </w:tcPr>
          <w:p w14:paraId="60791FD7" w14:textId="77777777" w:rsidR="00D4302A" w:rsidRPr="002B5BF8" w:rsidRDefault="00D4302A">
            <w:pPr>
              <w:rPr>
                <w:lang w:val="fr-FR"/>
              </w:rPr>
            </w:pPr>
          </w:p>
        </w:tc>
        <w:tc>
          <w:tcPr>
            <w:tcW w:w="13390" w:type="dxa"/>
          </w:tcPr>
          <w:p w14:paraId="21C753AC" w14:textId="77777777" w:rsidR="00D4302A" w:rsidRPr="002B5BF8" w:rsidRDefault="00D4302A">
            <w:pPr>
              <w:rPr>
                <w:lang w:val="fr-FR"/>
              </w:rPr>
            </w:pPr>
          </w:p>
        </w:tc>
      </w:tr>
      <w:tr w:rsidR="00D4302A" w:rsidRPr="00C66B96" w14:paraId="140A1E0F" w14:textId="77777777" w:rsidTr="000005F9">
        <w:trPr>
          <w:trHeight w:hRule="exact" w:val="2278"/>
        </w:trPr>
        <w:tc>
          <w:tcPr>
            <w:tcW w:w="2027" w:type="dxa"/>
          </w:tcPr>
          <w:p w14:paraId="4CEDE0BD" w14:textId="77777777" w:rsidR="00D4302A" w:rsidRPr="002B5BF8" w:rsidRDefault="00D4302A">
            <w:pPr>
              <w:pStyle w:val="TableParagraph"/>
              <w:rPr>
                <w:rFonts w:ascii="Times New Roman"/>
                <w:lang w:val="fr-FR"/>
              </w:rPr>
            </w:pPr>
          </w:p>
          <w:p w14:paraId="5CD3A0E1" w14:textId="77777777" w:rsidR="00D4302A" w:rsidRPr="002B5BF8" w:rsidRDefault="00AE7B67" w:rsidP="00AE7B67">
            <w:pPr>
              <w:pStyle w:val="TableParagraph"/>
              <w:spacing w:before="1"/>
              <w:ind w:right="236"/>
              <w:rPr>
                <w:b/>
                <w:lang w:val="fr-FR"/>
              </w:rPr>
            </w:pPr>
            <w:r>
              <w:rPr>
                <w:b/>
                <w:lang w:val="fr-FR"/>
              </w:rPr>
              <w:t xml:space="preserve">GARANTIR UNE </w:t>
            </w:r>
            <w:r w:rsidRPr="00AE7B67">
              <w:rPr>
                <w:b/>
                <w:lang w:val="fr-FR"/>
              </w:rPr>
              <w:t xml:space="preserve"> UTILISATION CORRECTE</w:t>
            </w:r>
          </w:p>
        </w:tc>
        <w:tc>
          <w:tcPr>
            <w:tcW w:w="13390" w:type="dxa"/>
          </w:tcPr>
          <w:p w14:paraId="3DCFB8FF" w14:textId="77777777" w:rsidR="00D4302A" w:rsidRPr="002B5BF8" w:rsidRDefault="00D4302A">
            <w:pPr>
              <w:pStyle w:val="TableParagraph"/>
              <w:spacing w:before="9"/>
              <w:rPr>
                <w:rFonts w:ascii="Times New Roman"/>
                <w:sz w:val="20"/>
                <w:lang w:val="fr-FR"/>
              </w:rPr>
            </w:pPr>
          </w:p>
          <w:p w14:paraId="64F8DFA2" w14:textId="77777777" w:rsidR="00AE7B67" w:rsidRPr="00AE7B67" w:rsidRDefault="00AE7B67" w:rsidP="00AE7B67">
            <w:pPr>
              <w:pStyle w:val="TableParagraph"/>
              <w:ind w:left="103" w:right="957"/>
              <w:rPr>
                <w:lang w:val="fr-FR"/>
              </w:rPr>
            </w:pPr>
            <w:r>
              <w:rPr>
                <w:lang w:val="fr-FR"/>
              </w:rPr>
              <w:t>Le</w:t>
            </w:r>
            <w:r w:rsidRPr="00AE7B67">
              <w:rPr>
                <w:lang w:val="fr-FR"/>
              </w:rPr>
              <w:t xml:space="preserve"> CCN devrait travailler avec le Cluster Nutrition pour développer un système de s</w:t>
            </w:r>
            <w:r>
              <w:rPr>
                <w:lang w:val="fr-FR"/>
              </w:rPr>
              <w:t>uivi</w:t>
            </w:r>
            <w:r w:rsidRPr="00AE7B67">
              <w:rPr>
                <w:lang w:val="fr-FR"/>
              </w:rPr>
              <w:t xml:space="preserve"> </w:t>
            </w:r>
            <w:r w:rsidR="007D563C">
              <w:rPr>
                <w:lang w:val="fr-FR"/>
              </w:rPr>
              <w:t>des</w:t>
            </w:r>
            <w:r w:rsidR="0088414C">
              <w:rPr>
                <w:lang w:val="fr-FR"/>
              </w:rPr>
              <w:t xml:space="preserve"> intrants</w:t>
            </w:r>
            <w:r w:rsidRPr="00AE7B67">
              <w:rPr>
                <w:lang w:val="fr-FR"/>
              </w:rPr>
              <w:t xml:space="preserve"> </w:t>
            </w:r>
            <w:r w:rsidR="007D563C">
              <w:rPr>
                <w:lang w:val="fr-FR"/>
              </w:rPr>
              <w:t>intégré dans le</w:t>
            </w:r>
            <w:r w:rsidRPr="00AE7B67">
              <w:rPr>
                <w:lang w:val="fr-FR"/>
              </w:rPr>
              <w:t xml:space="preserve"> </w:t>
            </w:r>
            <w:r>
              <w:rPr>
                <w:lang w:val="fr-FR"/>
              </w:rPr>
              <w:t xml:space="preserve">cadre </w:t>
            </w:r>
            <w:r w:rsidRPr="00AE7B67">
              <w:rPr>
                <w:lang w:val="fr-FR"/>
              </w:rPr>
              <w:t xml:space="preserve">plus large </w:t>
            </w:r>
            <w:r>
              <w:rPr>
                <w:lang w:val="fr-FR"/>
              </w:rPr>
              <w:t xml:space="preserve">de </w:t>
            </w:r>
            <w:r w:rsidRPr="00AE7B67">
              <w:rPr>
                <w:lang w:val="fr-FR"/>
              </w:rPr>
              <w:t>S &amp; E</w:t>
            </w:r>
            <w:r w:rsidR="007D563C">
              <w:rPr>
                <w:lang w:val="fr-FR"/>
              </w:rPr>
              <w:t>,</w:t>
            </w:r>
            <w:r w:rsidRPr="00AE7B67">
              <w:rPr>
                <w:lang w:val="fr-FR"/>
              </w:rPr>
              <w:t xml:space="preserve"> </w:t>
            </w:r>
            <w:r w:rsidR="007D563C">
              <w:rPr>
                <w:lang w:val="fr-FR"/>
              </w:rPr>
              <w:t>afin d’</w:t>
            </w:r>
            <w:r>
              <w:rPr>
                <w:lang w:val="fr-FR"/>
              </w:rPr>
              <w:t>éviter une</w:t>
            </w:r>
            <w:r w:rsidRPr="00AE7B67">
              <w:rPr>
                <w:lang w:val="fr-FR"/>
              </w:rPr>
              <w:t xml:space="preserve"> utilisation inapproprié</w:t>
            </w:r>
            <w:r>
              <w:rPr>
                <w:lang w:val="fr-FR"/>
              </w:rPr>
              <w:t>e</w:t>
            </w:r>
            <w:r w:rsidRPr="00AE7B67">
              <w:rPr>
                <w:lang w:val="fr-FR"/>
              </w:rPr>
              <w:t xml:space="preserve"> ou </w:t>
            </w:r>
            <w:r>
              <w:rPr>
                <w:lang w:val="fr-FR"/>
              </w:rPr>
              <w:t xml:space="preserve">un </w:t>
            </w:r>
            <w:r w:rsidRPr="00AE7B67">
              <w:rPr>
                <w:lang w:val="fr-FR"/>
              </w:rPr>
              <w:t>manque</w:t>
            </w:r>
            <w:r w:rsidR="0088414C">
              <w:rPr>
                <w:lang w:val="fr-FR"/>
              </w:rPr>
              <w:t xml:space="preserve"> d’intrants</w:t>
            </w:r>
            <w:r w:rsidRPr="00AE7B67">
              <w:rPr>
                <w:lang w:val="fr-FR"/>
              </w:rPr>
              <w:t>.</w:t>
            </w:r>
          </w:p>
          <w:p w14:paraId="3AA83141" w14:textId="77777777" w:rsidR="00AE7B67" w:rsidRPr="00AE7B67" w:rsidRDefault="00AE7B67" w:rsidP="00AE7B67">
            <w:pPr>
              <w:pStyle w:val="TableParagraph"/>
              <w:ind w:left="103" w:right="957"/>
              <w:rPr>
                <w:lang w:val="fr-FR"/>
              </w:rPr>
            </w:pPr>
          </w:p>
          <w:p w14:paraId="61765790" w14:textId="77777777" w:rsidR="00D4302A" w:rsidRPr="002B5BF8" w:rsidRDefault="00AE7B67" w:rsidP="007D563C">
            <w:pPr>
              <w:pStyle w:val="TableParagraph"/>
              <w:spacing w:before="1"/>
              <w:ind w:left="103" w:right="190"/>
              <w:jc w:val="both"/>
              <w:rPr>
                <w:lang w:val="fr-FR"/>
              </w:rPr>
            </w:pPr>
            <w:r w:rsidRPr="00AE7B67">
              <w:rPr>
                <w:lang w:val="fr-FR"/>
              </w:rPr>
              <w:t xml:space="preserve">En cas de besoin, le Cluster Nutrition devrait envisager des formations spécifiques sur </w:t>
            </w:r>
            <w:r>
              <w:rPr>
                <w:lang w:val="fr-FR"/>
              </w:rPr>
              <w:t>l</w:t>
            </w:r>
            <w:r w:rsidR="003362B1">
              <w:rPr>
                <w:lang w:val="fr-FR"/>
              </w:rPr>
              <w:t>a gestion de</w:t>
            </w:r>
            <w:r w:rsidR="000777DF">
              <w:rPr>
                <w:lang w:val="fr-FR"/>
              </w:rPr>
              <w:t>s approvisionnements</w:t>
            </w:r>
            <w:r>
              <w:rPr>
                <w:lang w:val="fr-FR"/>
              </w:rPr>
              <w:t xml:space="preserve">. Les meilleures </w:t>
            </w:r>
            <w:r w:rsidRPr="00AE7B67">
              <w:rPr>
                <w:lang w:val="fr-FR"/>
              </w:rPr>
              <w:t>pratique</w:t>
            </w:r>
            <w:r>
              <w:rPr>
                <w:lang w:val="fr-FR"/>
              </w:rPr>
              <w:t>s devraient</w:t>
            </w:r>
            <w:r w:rsidRPr="00AE7B67">
              <w:rPr>
                <w:lang w:val="fr-FR"/>
              </w:rPr>
              <w:t xml:space="preserve"> être </w:t>
            </w:r>
            <w:r>
              <w:rPr>
                <w:lang w:val="fr-FR"/>
              </w:rPr>
              <w:t>mises en avant</w:t>
            </w:r>
            <w:r w:rsidRPr="00AE7B67">
              <w:rPr>
                <w:lang w:val="fr-FR"/>
              </w:rPr>
              <w:t xml:space="preserve">- </w:t>
            </w:r>
            <w:r w:rsidR="00463DF4" w:rsidRPr="00463DF4">
              <w:rPr>
                <w:lang w:val="fr-FR"/>
              </w:rPr>
              <w:t>m</w:t>
            </w:r>
            <w:r w:rsidR="00582F38">
              <w:rPr>
                <w:lang w:val="fr-FR"/>
              </w:rPr>
              <w:t>éthode du premier rentré - premier sorti</w:t>
            </w:r>
            <w:r w:rsidRPr="00AE7B67">
              <w:rPr>
                <w:lang w:val="fr-FR"/>
              </w:rPr>
              <w:t xml:space="preserve">, et </w:t>
            </w:r>
            <w:r w:rsidR="00463DF4">
              <w:rPr>
                <w:lang w:val="fr-FR"/>
              </w:rPr>
              <w:t>respect d</w:t>
            </w:r>
            <w:r w:rsidRPr="00AE7B67">
              <w:rPr>
                <w:lang w:val="fr-FR"/>
              </w:rPr>
              <w:t>es directives de stockage pour maintenir la qualité du produ</w:t>
            </w:r>
            <w:r w:rsidR="00463DF4">
              <w:rPr>
                <w:lang w:val="fr-FR"/>
              </w:rPr>
              <w:t xml:space="preserve">it, </w:t>
            </w:r>
            <w:r w:rsidR="00463DF4" w:rsidRPr="00AE7B67">
              <w:rPr>
                <w:lang w:val="fr-FR"/>
              </w:rPr>
              <w:t>par exemple</w:t>
            </w:r>
            <w:r w:rsidR="007D563C">
              <w:rPr>
                <w:lang w:val="fr-FR"/>
              </w:rPr>
              <w:t>. Si besoin, i</w:t>
            </w:r>
            <w:r w:rsidR="00463DF4">
              <w:rPr>
                <w:lang w:val="fr-FR"/>
              </w:rPr>
              <w:t xml:space="preserve">l </w:t>
            </w:r>
            <w:r w:rsidR="007D563C">
              <w:rPr>
                <w:lang w:val="fr-FR"/>
              </w:rPr>
              <w:t>ne faudra pas hésiter à</w:t>
            </w:r>
            <w:r w:rsidR="00463DF4">
              <w:rPr>
                <w:lang w:val="fr-FR"/>
              </w:rPr>
              <w:t xml:space="preserve"> faire appel </w:t>
            </w:r>
            <w:r w:rsidR="007D563C">
              <w:rPr>
                <w:lang w:val="fr-FR"/>
              </w:rPr>
              <w:t>aux partenaires du cluster nutrition ou à d’autres partenaires pour obtenir</w:t>
            </w:r>
            <w:r w:rsidR="00463DF4">
              <w:rPr>
                <w:lang w:val="fr-FR"/>
              </w:rPr>
              <w:t xml:space="preserve"> u</w:t>
            </w:r>
            <w:r w:rsidRPr="00AE7B67">
              <w:rPr>
                <w:lang w:val="fr-FR"/>
              </w:rPr>
              <w:t xml:space="preserve">ne expertise supplémentaire en approvisionnement et </w:t>
            </w:r>
            <w:r w:rsidR="00463DF4">
              <w:rPr>
                <w:lang w:val="fr-FR"/>
              </w:rPr>
              <w:t xml:space="preserve">en </w:t>
            </w:r>
            <w:r w:rsidRPr="00AE7B67">
              <w:rPr>
                <w:lang w:val="fr-FR"/>
              </w:rPr>
              <w:t>logistique.</w:t>
            </w:r>
          </w:p>
        </w:tc>
      </w:tr>
    </w:tbl>
    <w:p w14:paraId="632FEAC2" w14:textId="77777777" w:rsidR="00D4302A" w:rsidRPr="002B5BF8" w:rsidRDefault="00CF266C">
      <w:pPr>
        <w:spacing w:line="234" w:lineRule="exact"/>
        <w:ind w:left="119"/>
        <w:rPr>
          <w:sz w:val="20"/>
          <w:lang w:val="fr-FR"/>
        </w:rPr>
      </w:pPr>
      <w:r>
        <w:rPr>
          <w:sz w:val="20"/>
          <w:lang w:val="fr-FR"/>
        </w:rPr>
        <w:t>Tir</w:t>
      </w:r>
      <w:r w:rsidR="007D563C" w:rsidRPr="007D563C">
        <w:rPr>
          <w:sz w:val="20"/>
          <w:lang w:val="fr-FR"/>
        </w:rPr>
        <w:t>é</w:t>
      </w:r>
      <w:r>
        <w:rPr>
          <w:sz w:val="20"/>
          <w:lang w:val="fr-FR"/>
        </w:rPr>
        <w:t xml:space="preserve"> du Manuel</w:t>
      </w:r>
      <w:r w:rsidR="0090343F" w:rsidRPr="002B5BF8">
        <w:rPr>
          <w:sz w:val="20"/>
          <w:lang w:val="fr-FR"/>
        </w:rPr>
        <w:t xml:space="preserve"> </w:t>
      </w:r>
      <w:r>
        <w:rPr>
          <w:sz w:val="20"/>
          <w:lang w:val="fr-FR"/>
        </w:rPr>
        <w:t xml:space="preserve">pour le Coordinateur du Cluster </w:t>
      </w:r>
      <w:r w:rsidR="007D563C">
        <w:rPr>
          <w:sz w:val="20"/>
          <w:lang w:val="fr-FR"/>
        </w:rPr>
        <w:t>Nutrition</w:t>
      </w:r>
      <w:r>
        <w:rPr>
          <w:sz w:val="20"/>
          <w:lang w:val="fr-FR"/>
        </w:rPr>
        <w:t>, Chapit</w:t>
      </w:r>
      <w:r w:rsidR="0090343F" w:rsidRPr="002B5BF8">
        <w:rPr>
          <w:sz w:val="20"/>
          <w:lang w:val="fr-FR"/>
        </w:rPr>
        <w:t>r</w:t>
      </w:r>
      <w:r>
        <w:rPr>
          <w:sz w:val="20"/>
          <w:lang w:val="fr-FR"/>
        </w:rPr>
        <w:t>e</w:t>
      </w:r>
      <w:r w:rsidR="0090343F" w:rsidRPr="002B5BF8">
        <w:rPr>
          <w:sz w:val="20"/>
          <w:lang w:val="fr-FR"/>
        </w:rPr>
        <w:t xml:space="preserve"> 8</w:t>
      </w:r>
    </w:p>
    <w:p w14:paraId="404DEEFE" w14:textId="578EA487" w:rsidR="00D4302A" w:rsidRDefault="008E0E1B" w:rsidP="008E0E1B">
      <w:pPr>
        <w:tabs>
          <w:tab w:val="left" w:pos="10174"/>
        </w:tabs>
        <w:rPr>
          <w:lang w:val="fr-FR"/>
        </w:rPr>
      </w:pPr>
      <w:r>
        <w:rPr>
          <w:sz w:val="20"/>
          <w:lang w:val="fr-FR"/>
        </w:rPr>
        <w:tab/>
      </w:r>
    </w:p>
    <w:p w14:paraId="164ABF10" w14:textId="77777777" w:rsidR="008E0E1B" w:rsidRPr="008E0E1B" w:rsidRDefault="008E0E1B" w:rsidP="008E0E1B">
      <w:pPr>
        <w:rPr>
          <w:sz w:val="20"/>
          <w:lang w:val="fr-FR"/>
        </w:rPr>
      </w:pPr>
    </w:p>
    <w:sectPr w:rsidR="008E0E1B" w:rsidRPr="008E0E1B" w:rsidSect="00BE7586">
      <w:pgSz w:w="16840" w:h="11910" w:orient="landscape"/>
      <w:pgMar w:top="1140" w:right="600" w:bottom="1420" w:left="600" w:header="941" w:footer="123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andre Pinel" w:date="2019-04-23T15:27:00Z" w:initials="AP">
    <w:p w14:paraId="5053FD02" w14:textId="77777777" w:rsidR="00D76474" w:rsidRDefault="00D76474">
      <w:pPr>
        <w:pStyle w:val="CommentText"/>
      </w:pPr>
      <w:r>
        <w:rPr>
          <w:rStyle w:val="CommentReference"/>
        </w:rPr>
        <w:annotationRef/>
      </w:r>
      <w:r>
        <w:t>I found this translation on the FAO website in a similar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53FD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3FD02" w16cid:durableId="206C1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921C" w14:textId="77777777" w:rsidR="00261B58" w:rsidRDefault="00261B58">
      <w:r>
        <w:separator/>
      </w:r>
    </w:p>
  </w:endnote>
  <w:endnote w:type="continuationSeparator" w:id="0">
    <w:p w14:paraId="1A133322" w14:textId="77777777" w:rsidR="00261B58" w:rsidRDefault="0026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512E" w14:textId="3AFDF806" w:rsidR="00F24F63" w:rsidRDefault="007204FC">
    <w:pPr>
      <w:pStyle w:val="BodyText"/>
      <w:spacing w:line="14" w:lineRule="auto"/>
      <w:rPr>
        <w:sz w:val="20"/>
      </w:rPr>
    </w:pPr>
    <w:r>
      <w:rPr>
        <w:noProof/>
      </w:rPr>
      <mc:AlternateContent>
        <mc:Choice Requires="wps">
          <w:drawing>
            <wp:anchor distT="0" distB="0" distL="114300" distR="114300" simplePos="0" relativeHeight="503309456" behindDoc="1" locked="0" layoutInCell="1" allowOverlap="1" wp14:anchorId="376EFCC6" wp14:editId="37E40183">
              <wp:simplePos x="0" y="0"/>
              <wp:positionH relativeFrom="page">
                <wp:posOffset>5276215</wp:posOffset>
              </wp:positionH>
              <wp:positionV relativeFrom="page">
                <wp:posOffset>6636385</wp:posOffset>
              </wp:positionV>
              <wp:extent cx="1377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C45DAF" w14:textId="77777777" w:rsidR="00F24F63" w:rsidRDefault="00BE7586">
                          <w:pPr>
                            <w:spacing w:line="248" w:lineRule="exact"/>
                            <w:ind w:left="40"/>
                            <w:rPr>
                              <w:rFonts w:ascii="Bookman Old Style"/>
                            </w:rPr>
                          </w:pPr>
                          <w:r>
                            <w:fldChar w:fldCharType="begin"/>
                          </w:r>
                          <w:r w:rsidR="00F24F63">
                            <w:rPr>
                              <w:rFonts w:ascii="Bookman Old Style"/>
                            </w:rPr>
                            <w:instrText xml:space="preserve"> PAGE </w:instrText>
                          </w:r>
                          <w:r>
                            <w:fldChar w:fldCharType="separate"/>
                          </w:r>
                          <w:r w:rsidR="00D76474">
                            <w:rPr>
                              <w:rFonts w:ascii="Bookman Old Style"/>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EFCC6" id="_x0000_t202" coordsize="21600,21600" o:spt="202" path="m,l,21600r21600,l21600,xe">
              <v:stroke joinstyle="miter"/>
              <v:path gradientshapeok="t" o:connecttype="rect"/>
            </v:shapetype>
            <v:shape id="Text Box 1" o:spid="_x0000_s1027" type="#_x0000_t202" style="position:absolute;margin-left:415.45pt;margin-top:522.55pt;width:10.85pt;height:13.05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" filled="f" stroked="f">
              <v:textbox inset="0,0,0,0">
                <w:txbxContent>
                  <w:p w14:paraId="52C45DAF" w14:textId="77777777" w:rsidR="00F24F63" w:rsidRDefault="00BE7586">
                    <w:pPr>
                      <w:spacing w:line="248" w:lineRule="exact"/>
                      <w:ind w:left="40"/>
                      <w:rPr>
                        <w:rFonts w:ascii="Bookman Old Style"/>
                      </w:rPr>
                    </w:pPr>
                    <w:r>
                      <w:fldChar w:fldCharType="begin"/>
                    </w:r>
                    <w:r w:rsidR="00F24F63">
                      <w:rPr>
                        <w:rFonts w:ascii="Bookman Old Style"/>
                      </w:rPr>
                      <w:instrText xml:space="preserve"> PAGE </w:instrText>
                    </w:r>
                    <w:r>
                      <w:fldChar w:fldCharType="separate"/>
                    </w:r>
                    <w:r w:rsidR="00D76474">
                      <w:rPr>
                        <w:rFonts w:ascii="Bookman Old Style"/>
                        <w:noProof/>
                      </w:rPr>
                      <w:t>2</w:t>
                    </w:r>
                    <w:r>
                      <w:fldChar w:fldCharType="end"/>
                    </w:r>
                  </w:p>
                </w:txbxContent>
              </v:textbox>
              <w10:wrap anchorx="page" anchory="page"/>
            </v:shape>
          </w:pict>
        </mc:Fallback>
      </mc:AlternateContent>
    </w:r>
    <w:r w:rsidR="00507B77">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366A0" w14:textId="77777777" w:rsidR="00261B58" w:rsidRDefault="00261B58">
      <w:r>
        <w:separator/>
      </w:r>
    </w:p>
  </w:footnote>
  <w:footnote w:type="continuationSeparator" w:id="0">
    <w:p w14:paraId="5222C536" w14:textId="77777777" w:rsidR="00261B58" w:rsidRDefault="00261B58">
      <w:r>
        <w:continuationSeparator/>
      </w:r>
    </w:p>
  </w:footnote>
  <w:footnote w:id="1">
    <w:p w14:paraId="411AC04D" w14:textId="4739933F" w:rsidR="00F24F63" w:rsidRPr="008921E4" w:rsidRDefault="00F24F63" w:rsidP="008921E4">
      <w:pPr>
        <w:pStyle w:val="BodyText"/>
        <w:spacing w:before="35"/>
        <w:ind w:left="119"/>
        <w:rPr>
          <w:lang w:val="fr-FR"/>
        </w:rPr>
      </w:pPr>
      <w:r>
        <w:rPr>
          <w:rStyle w:val="FootnoteReference"/>
        </w:rPr>
        <w:footnoteRef/>
      </w:r>
      <w:r w:rsidRPr="009C605B">
        <w:rPr>
          <w:lang w:val="fr-FR"/>
        </w:rPr>
        <w:t xml:space="preserve"> </w:t>
      </w:r>
      <w:r w:rsidRPr="008921E4">
        <w:rPr>
          <w:lang w:val="fr-FR"/>
        </w:rPr>
        <w:t>En pratique, des coefficients de 1.5 pour la MAM et 2.6 pour la S</w:t>
      </w:r>
      <w:r w:rsidR="00D76474">
        <w:rPr>
          <w:lang w:val="fr-FR"/>
        </w:rPr>
        <w:t>AM</w:t>
      </w:r>
      <w:r w:rsidRPr="008921E4">
        <w:rPr>
          <w:lang w:val="fr-FR"/>
        </w:rPr>
        <w:t xml:space="preserve"> sont </w:t>
      </w:r>
      <w:r>
        <w:rPr>
          <w:lang w:val="fr-FR"/>
        </w:rPr>
        <w:t>utilisé</w:t>
      </w:r>
      <w:r w:rsidRPr="008921E4">
        <w:rPr>
          <w:lang w:val="fr-FR"/>
        </w:rPr>
        <w:t>s sur le terrain pour obtenir des estimation</w:t>
      </w:r>
      <w:r>
        <w:rPr>
          <w:lang w:val="fr-FR"/>
        </w:rPr>
        <w:t>s du nombre de personnes affectées</w:t>
      </w:r>
      <w:r w:rsidR="00EC1CB7">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ED8E" w14:textId="77777777" w:rsidR="00F24F63" w:rsidRDefault="007204FC">
    <w:pPr>
      <w:pStyle w:val="BodyText"/>
      <w:spacing w:line="14" w:lineRule="auto"/>
      <w:rPr>
        <w:sz w:val="20"/>
      </w:rPr>
    </w:pPr>
    <w:r>
      <w:rPr>
        <w:noProof/>
      </w:rPr>
      <mc:AlternateContent>
        <mc:Choice Requires="wps">
          <w:drawing>
            <wp:anchor distT="0" distB="0" distL="114300" distR="114300" simplePos="0" relativeHeight="503309432" behindDoc="1" locked="0" layoutInCell="1" allowOverlap="1" wp14:anchorId="4066A913" wp14:editId="3D711CE9">
              <wp:simplePos x="0" y="0"/>
              <wp:positionH relativeFrom="page">
                <wp:posOffset>7705725</wp:posOffset>
              </wp:positionH>
              <wp:positionV relativeFrom="page">
                <wp:posOffset>596900</wp:posOffset>
              </wp:positionV>
              <wp:extent cx="2540000" cy="1397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328073" w14:textId="77777777" w:rsidR="00F24F63" w:rsidRDefault="00F24F63">
                          <w:pPr>
                            <w:pStyle w:val="BodyText"/>
                            <w:spacing w:line="206" w:lineRule="exact"/>
                            <w:ind w:left="20" w:right="-2"/>
                            <w:rPr>
                              <w:rFonts w:ascii="Trebuchet MS"/>
                            </w:rPr>
                          </w:pPr>
                          <w:r>
                            <w:rPr>
                              <w:rFonts w:ascii="Trebuchet MS"/>
                            </w:rPr>
                            <w:t>Nutrition Cluster Coordinator Training Facilitator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A913" id="_x0000_t202" coordsize="21600,21600" o:spt="202" path="m,l,21600r21600,l21600,xe">
              <v:stroke joinstyle="miter"/>
              <v:path gradientshapeok="t" o:connecttype="rect"/>
            </v:shapetype>
            <v:shape id="Text Box 2" o:spid="_x0000_s1026" type="#_x0000_t202" style="position:absolute;margin-left:606.75pt;margin-top:47pt;width:200pt;height:11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" filled="f" stroked="f">
              <v:textbox inset="0,0,0,0">
                <w:txbxContent>
                  <w:p w14:paraId="31328073" w14:textId="77777777" w:rsidR="00F24F63" w:rsidRDefault="00F24F63">
                    <w:pPr>
                      <w:pStyle w:val="BodyText"/>
                      <w:spacing w:line="206" w:lineRule="exact"/>
                      <w:ind w:left="20" w:right="-2"/>
                      <w:rPr>
                        <w:rFonts w:ascii="Trebuchet MS"/>
                      </w:rPr>
                    </w:pPr>
                    <w:r>
                      <w:rPr>
                        <w:rFonts w:ascii="Trebuchet MS"/>
                      </w:rPr>
                      <w:t>Nutrition Cluster Coordinator Training Facilitator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D09"/>
    <w:multiLevelType w:val="hybridMultilevel"/>
    <w:tmpl w:val="C70815BA"/>
    <w:lvl w:ilvl="0" w:tplc="CE6451AE">
      <w:numFmt w:val="bullet"/>
      <w:lvlText w:val=""/>
      <w:lvlJc w:val="left"/>
      <w:pPr>
        <w:ind w:left="823" w:hanging="360"/>
      </w:pPr>
      <w:rPr>
        <w:rFonts w:ascii="Symbol" w:eastAsia="Symbol" w:hAnsi="Symbol" w:cs="Symbol" w:hint="default"/>
        <w:w w:val="100"/>
        <w:sz w:val="22"/>
        <w:szCs w:val="22"/>
      </w:rPr>
    </w:lvl>
    <w:lvl w:ilvl="1" w:tplc="E3D2748E">
      <w:numFmt w:val="bullet"/>
      <w:lvlText w:val="•"/>
      <w:lvlJc w:val="left"/>
      <w:pPr>
        <w:ind w:left="2099" w:hanging="360"/>
      </w:pPr>
      <w:rPr>
        <w:rFonts w:hint="default"/>
      </w:rPr>
    </w:lvl>
    <w:lvl w:ilvl="2" w:tplc="0DCCBE44">
      <w:numFmt w:val="bullet"/>
      <w:lvlText w:val="•"/>
      <w:lvlJc w:val="left"/>
      <w:pPr>
        <w:ind w:left="3378" w:hanging="360"/>
      </w:pPr>
      <w:rPr>
        <w:rFonts w:hint="default"/>
      </w:rPr>
    </w:lvl>
    <w:lvl w:ilvl="3" w:tplc="B316D610">
      <w:numFmt w:val="bullet"/>
      <w:lvlText w:val="•"/>
      <w:lvlJc w:val="left"/>
      <w:pPr>
        <w:ind w:left="4657" w:hanging="360"/>
      </w:pPr>
      <w:rPr>
        <w:rFonts w:hint="default"/>
      </w:rPr>
    </w:lvl>
    <w:lvl w:ilvl="4" w:tplc="D2EC64D6">
      <w:numFmt w:val="bullet"/>
      <w:lvlText w:val="•"/>
      <w:lvlJc w:val="left"/>
      <w:pPr>
        <w:ind w:left="5937" w:hanging="360"/>
      </w:pPr>
      <w:rPr>
        <w:rFonts w:hint="default"/>
      </w:rPr>
    </w:lvl>
    <w:lvl w:ilvl="5" w:tplc="F2E4BA96">
      <w:numFmt w:val="bullet"/>
      <w:lvlText w:val="•"/>
      <w:lvlJc w:val="left"/>
      <w:pPr>
        <w:ind w:left="7216" w:hanging="360"/>
      </w:pPr>
      <w:rPr>
        <w:rFonts w:hint="default"/>
      </w:rPr>
    </w:lvl>
    <w:lvl w:ilvl="6" w:tplc="C3F2C640">
      <w:numFmt w:val="bullet"/>
      <w:lvlText w:val="•"/>
      <w:lvlJc w:val="left"/>
      <w:pPr>
        <w:ind w:left="8495" w:hanging="360"/>
      </w:pPr>
      <w:rPr>
        <w:rFonts w:hint="default"/>
      </w:rPr>
    </w:lvl>
    <w:lvl w:ilvl="7" w:tplc="0204B88A">
      <w:numFmt w:val="bullet"/>
      <w:lvlText w:val="•"/>
      <w:lvlJc w:val="left"/>
      <w:pPr>
        <w:ind w:left="9774" w:hanging="360"/>
      </w:pPr>
      <w:rPr>
        <w:rFonts w:hint="default"/>
      </w:rPr>
    </w:lvl>
    <w:lvl w:ilvl="8" w:tplc="037288E0">
      <w:numFmt w:val="bullet"/>
      <w:lvlText w:val="•"/>
      <w:lvlJc w:val="left"/>
      <w:pPr>
        <w:ind w:left="110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2A"/>
    <w:rsid w:val="000005F9"/>
    <w:rsid w:val="0003140C"/>
    <w:rsid w:val="000777DF"/>
    <w:rsid w:val="00153B6F"/>
    <w:rsid w:val="001F258E"/>
    <w:rsid w:val="001F37C1"/>
    <w:rsid w:val="00214CA8"/>
    <w:rsid w:val="00261B58"/>
    <w:rsid w:val="00292273"/>
    <w:rsid w:val="00296988"/>
    <w:rsid w:val="002B5BF8"/>
    <w:rsid w:val="003049DB"/>
    <w:rsid w:val="00330D6D"/>
    <w:rsid w:val="003362B1"/>
    <w:rsid w:val="003C66D2"/>
    <w:rsid w:val="00407E3A"/>
    <w:rsid w:val="00463DF4"/>
    <w:rsid w:val="004B7238"/>
    <w:rsid w:val="00507B77"/>
    <w:rsid w:val="00562C83"/>
    <w:rsid w:val="005667C0"/>
    <w:rsid w:val="00577C8C"/>
    <w:rsid w:val="00582F38"/>
    <w:rsid w:val="006C1195"/>
    <w:rsid w:val="006E7BC9"/>
    <w:rsid w:val="007204FC"/>
    <w:rsid w:val="007D563C"/>
    <w:rsid w:val="00830138"/>
    <w:rsid w:val="0088414C"/>
    <w:rsid w:val="008921E4"/>
    <w:rsid w:val="00896076"/>
    <w:rsid w:val="008E0E1B"/>
    <w:rsid w:val="0090343F"/>
    <w:rsid w:val="0092239D"/>
    <w:rsid w:val="009236DB"/>
    <w:rsid w:val="00966574"/>
    <w:rsid w:val="00974872"/>
    <w:rsid w:val="009C605B"/>
    <w:rsid w:val="00A63813"/>
    <w:rsid w:val="00A859D0"/>
    <w:rsid w:val="00A96F34"/>
    <w:rsid w:val="00AD0843"/>
    <w:rsid w:val="00AE7B67"/>
    <w:rsid w:val="00B645A6"/>
    <w:rsid w:val="00BA5F04"/>
    <w:rsid w:val="00BB44A6"/>
    <w:rsid w:val="00BB4BBE"/>
    <w:rsid w:val="00BE7586"/>
    <w:rsid w:val="00C00E0B"/>
    <w:rsid w:val="00C66B96"/>
    <w:rsid w:val="00CE2266"/>
    <w:rsid w:val="00CF266C"/>
    <w:rsid w:val="00D4302A"/>
    <w:rsid w:val="00D76474"/>
    <w:rsid w:val="00D817DF"/>
    <w:rsid w:val="00DE242C"/>
    <w:rsid w:val="00E61AAF"/>
    <w:rsid w:val="00E86C8E"/>
    <w:rsid w:val="00EC1CB7"/>
    <w:rsid w:val="00EE3A45"/>
    <w:rsid w:val="00F24F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AF6E7"/>
  <w15:docId w15:val="{F36140DF-A355-4DB3-B86E-173C2609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E7586"/>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BE7586"/>
    <w:tblPr>
      <w:tblInd w:w="0" w:type="dxa"/>
      <w:tblCellMar>
        <w:top w:w="0" w:type="dxa"/>
        <w:left w:w="0" w:type="dxa"/>
        <w:bottom w:w="0" w:type="dxa"/>
        <w:right w:w="0" w:type="dxa"/>
      </w:tblCellMar>
    </w:tblPr>
  </w:style>
  <w:style w:type="paragraph" w:styleId="BodyText">
    <w:name w:val="Body Text"/>
    <w:basedOn w:val="Normal"/>
    <w:uiPriority w:val="1"/>
    <w:qFormat/>
    <w:rsid w:val="00BE7586"/>
    <w:rPr>
      <w:rFonts w:ascii="Calibri" w:eastAsia="Calibri" w:hAnsi="Calibri" w:cs="Calibri"/>
      <w:sz w:val="18"/>
      <w:szCs w:val="18"/>
    </w:rPr>
  </w:style>
  <w:style w:type="paragraph" w:styleId="ListParagraph">
    <w:name w:val="List Paragraph"/>
    <w:basedOn w:val="Normal"/>
    <w:uiPriority w:val="1"/>
    <w:qFormat/>
    <w:rsid w:val="00BE7586"/>
  </w:style>
  <w:style w:type="paragraph" w:customStyle="1" w:styleId="TableParagraph">
    <w:name w:val="Table Paragraph"/>
    <w:basedOn w:val="Normal"/>
    <w:uiPriority w:val="1"/>
    <w:qFormat/>
    <w:rsid w:val="00BE7586"/>
  </w:style>
  <w:style w:type="paragraph" w:styleId="BalloonText">
    <w:name w:val="Balloon Text"/>
    <w:basedOn w:val="Normal"/>
    <w:link w:val="BalloonTextChar"/>
    <w:uiPriority w:val="99"/>
    <w:semiHidden/>
    <w:unhideWhenUsed/>
    <w:rsid w:val="009034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43F"/>
    <w:rPr>
      <w:rFonts w:ascii="lucida grande" w:eastAsia="Cambria" w:hAnsi="lucida grande" w:cs="lucida grande"/>
      <w:sz w:val="18"/>
      <w:szCs w:val="18"/>
    </w:rPr>
  </w:style>
  <w:style w:type="paragraph" w:styleId="FootnoteText">
    <w:name w:val="footnote text"/>
    <w:basedOn w:val="Normal"/>
    <w:link w:val="FootnoteTextChar"/>
    <w:uiPriority w:val="99"/>
    <w:unhideWhenUsed/>
    <w:rsid w:val="008921E4"/>
    <w:rPr>
      <w:sz w:val="24"/>
      <w:szCs w:val="24"/>
    </w:rPr>
  </w:style>
  <w:style w:type="character" w:customStyle="1" w:styleId="FootnoteTextChar">
    <w:name w:val="Footnote Text Char"/>
    <w:basedOn w:val="DefaultParagraphFont"/>
    <w:link w:val="FootnoteText"/>
    <w:uiPriority w:val="99"/>
    <w:rsid w:val="008921E4"/>
    <w:rPr>
      <w:rFonts w:ascii="Cambria" w:eastAsia="Cambria" w:hAnsi="Cambria" w:cs="Cambria"/>
      <w:sz w:val="24"/>
      <w:szCs w:val="24"/>
    </w:rPr>
  </w:style>
  <w:style w:type="character" w:styleId="FootnoteReference">
    <w:name w:val="footnote reference"/>
    <w:basedOn w:val="DefaultParagraphFont"/>
    <w:uiPriority w:val="99"/>
    <w:unhideWhenUsed/>
    <w:rsid w:val="008921E4"/>
    <w:rPr>
      <w:vertAlign w:val="superscript"/>
    </w:rPr>
  </w:style>
  <w:style w:type="character" w:styleId="CommentReference">
    <w:name w:val="annotation reference"/>
    <w:basedOn w:val="DefaultParagraphFont"/>
    <w:uiPriority w:val="99"/>
    <w:semiHidden/>
    <w:unhideWhenUsed/>
    <w:rsid w:val="00D76474"/>
    <w:rPr>
      <w:sz w:val="18"/>
      <w:szCs w:val="18"/>
    </w:rPr>
  </w:style>
  <w:style w:type="paragraph" w:styleId="CommentText">
    <w:name w:val="annotation text"/>
    <w:basedOn w:val="Normal"/>
    <w:link w:val="CommentTextChar"/>
    <w:uiPriority w:val="99"/>
    <w:semiHidden/>
    <w:unhideWhenUsed/>
    <w:rsid w:val="00D76474"/>
    <w:rPr>
      <w:sz w:val="24"/>
      <w:szCs w:val="24"/>
    </w:rPr>
  </w:style>
  <w:style w:type="character" w:customStyle="1" w:styleId="CommentTextChar">
    <w:name w:val="Comment Text Char"/>
    <w:basedOn w:val="DefaultParagraphFont"/>
    <w:link w:val="CommentText"/>
    <w:uiPriority w:val="99"/>
    <w:semiHidden/>
    <w:rsid w:val="00D76474"/>
    <w:rPr>
      <w:rFonts w:ascii="Cambria" w:eastAsia="Cambria" w:hAnsi="Cambria" w:cs="Cambria"/>
      <w:sz w:val="24"/>
      <w:szCs w:val="24"/>
    </w:rPr>
  </w:style>
  <w:style w:type="paragraph" w:styleId="CommentSubject">
    <w:name w:val="annotation subject"/>
    <w:basedOn w:val="CommentText"/>
    <w:next w:val="CommentText"/>
    <w:link w:val="CommentSubjectChar"/>
    <w:uiPriority w:val="99"/>
    <w:semiHidden/>
    <w:unhideWhenUsed/>
    <w:rsid w:val="00D76474"/>
    <w:rPr>
      <w:b/>
      <w:bCs/>
      <w:sz w:val="20"/>
      <w:szCs w:val="20"/>
    </w:rPr>
  </w:style>
  <w:style w:type="character" w:customStyle="1" w:styleId="CommentSubjectChar">
    <w:name w:val="Comment Subject Char"/>
    <w:basedOn w:val="CommentTextChar"/>
    <w:link w:val="CommentSubject"/>
    <w:uiPriority w:val="99"/>
    <w:semiHidden/>
    <w:rsid w:val="00D76474"/>
    <w:rPr>
      <w:rFonts w:ascii="Cambria" w:eastAsia="Cambria" w:hAnsi="Cambria" w:cs="Cambria"/>
      <w:b/>
      <w:bCs/>
      <w:sz w:val="20"/>
      <w:szCs w:val="20"/>
    </w:rPr>
  </w:style>
  <w:style w:type="paragraph" w:styleId="Header">
    <w:name w:val="header"/>
    <w:basedOn w:val="Normal"/>
    <w:link w:val="HeaderChar"/>
    <w:uiPriority w:val="99"/>
    <w:unhideWhenUsed/>
    <w:rsid w:val="00507B77"/>
    <w:pPr>
      <w:tabs>
        <w:tab w:val="center" w:pos="4680"/>
        <w:tab w:val="right" w:pos="9360"/>
      </w:tabs>
    </w:pPr>
  </w:style>
  <w:style w:type="character" w:customStyle="1" w:styleId="HeaderChar">
    <w:name w:val="Header Char"/>
    <w:basedOn w:val="DefaultParagraphFont"/>
    <w:link w:val="Header"/>
    <w:uiPriority w:val="99"/>
    <w:rsid w:val="00507B77"/>
    <w:rPr>
      <w:rFonts w:ascii="Cambria" w:eastAsia="Cambria" w:hAnsi="Cambria" w:cs="Cambria"/>
    </w:rPr>
  </w:style>
  <w:style w:type="paragraph" w:styleId="Footer">
    <w:name w:val="footer"/>
    <w:basedOn w:val="Normal"/>
    <w:link w:val="FooterChar"/>
    <w:uiPriority w:val="99"/>
    <w:unhideWhenUsed/>
    <w:rsid w:val="00507B77"/>
    <w:pPr>
      <w:tabs>
        <w:tab w:val="center" w:pos="4680"/>
        <w:tab w:val="right" w:pos="9360"/>
      </w:tabs>
    </w:pPr>
  </w:style>
  <w:style w:type="character" w:customStyle="1" w:styleId="FooterChar">
    <w:name w:val="Footer Char"/>
    <w:basedOn w:val="DefaultParagraphFont"/>
    <w:link w:val="Footer"/>
    <w:uiPriority w:val="99"/>
    <w:rsid w:val="00507B77"/>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microsoft.com/office/2016/09/relationships/commentsIds" Target="commentsIds.xml"/><Relationship Id="rId19" Type="http://schemas.openxmlformats.org/officeDocument/2006/relationships/customXml" Target="../customXml/item5.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EMOPSGCCU-1435067120-27964</_dlc_DocId>
    <TaxCatchAll xmlns="ca283e0b-db31-4043-a2ef-b80661bf084a">
      <Value>3</Value>
    </TaxCatchAll>
    <_dlc_DocIdUrl xmlns="5858627f-d058-4b92-9b52-677b5fd7d454">
      <Url>https://unicef.sharepoint.com/teams/EMOPS-GCCU/_layouts/15/DocIdRedir.aspx?ID=EMOPSGCCU-1435067120-27964</Url>
      <Description>EMOPSGCCU-1435067120-27964</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F11A047-C712-4D94-9161-D81B9883A452}"/>
</file>

<file path=customXml/itemProps2.xml><?xml version="1.0" encoding="utf-8"?>
<ds:datastoreItem xmlns:ds="http://schemas.openxmlformats.org/officeDocument/2006/customXml" ds:itemID="{0B3F72E6-7CC8-4B9A-8C24-4133DAB973C3}"/>
</file>

<file path=customXml/itemProps3.xml><?xml version="1.0" encoding="utf-8"?>
<ds:datastoreItem xmlns:ds="http://schemas.openxmlformats.org/officeDocument/2006/customXml" ds:itemID="{11E5CEED-6FBA-4456-A025-64EBE78F9B58}"/>
</file>

<file path=customXml/itemProps4.xml><?xml version="1.0" encoding="utf-8"?>
<ds:datastoreItem xmlns:ds="http://schemas.openxmlformats.org/officeDocument/2006/customXml" ds:itemID="{03086CBA-5E7C-4D70-A47F-7E7C9CDC9DC9}"/>
</file>

<file path=customXml/itemProps5.xml><?xml version="1.0" encoding="utf-8"?>
<ds:datastoreItem xmlns:ds="http://schemas.openxmlformats.org/officeDocument/2006/customXml" ds:itemID="{0263BD78-181B-4F40-9D32-FCE43D03A475}"/>
</file>

<file path=customXml/itemProps6.xml><?xml version="1.0" encoding="utf-8"?>
<ds:datastoreItem xmlns:ds="http://schemas.openxmlformats.org/officeDocument/2006/customXml" ds:itemID="{25EC3BDB-5795-4B46-B3F3-DBF61CB54B39}"/>
</file>

<file path=docProps/app.xml><?xml version="1.0" encoding="utf-8"?>
<Properties xmlns="http://schemas.openxmlformats.org/officeDocument/2006/extended-properties" xmlns:vt="http://schemas.openxmlformats.org/officeDocument/2006/docPropsVTypes">
  <Template>Normal</Template>
  <TotalTime>0</TotalTime>
  <Pages>5</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HO Nutrition Supply Calculations NEW</vt:lpstr>
    </vt:vector>
  </TitlesOfParts>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 Nutrition Supply Calculations NEW</dc:title>
  <dc:creator>Montse</dc:creator>
  <cp:lastModifiedBy>Angeline Grant</cp:lastModifiedBy>
  <cp:revision>2</cp:revision>
  <dcterms:created xsi:type="dcterms:W3CDTF">2019-05-16T14:41:00Z</dcterms:created>
  <dcterms:modified xsi:type="dcterms:W3CDTF">2019-05-16T14:41:00Z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Creator">
    <vt:lpwstr>PrimoPDF http://www.primopdf.com</vt:lpwstr>
  </property>
  <property fmtid="{D5CDD505-2E9C-101B-9397-08002B2CF9AE}" pid="4" name="LastSaved">
    <vt:filetime>2016-05-26T00:00:00Z</vt:filetime>
  </property>
  <property fmtid="{D5CDD505-2E9C-101B-9397-08002B2CF9AE}" pid="5" name="ContentTypeId">
    <vt:lpwstr>0x0101009BA85F8052A6DA4FA3E31FF9F74C6970006192CA8317E1FF49B6A7FEB870A3A8D6</vt:lpwstr>
  </property>
  <property fmtid="{D5CDD505-2E9C-101B-9397-08002B2CF9AE}" pid="6" name="OfficeDivision">
    <vt:lpwstr>3;#Office of Emergency Prog.-456F|98de697e-6403-48a0-9bce-654c90399d04</vt:lpwstr>
  </property>
  <property fmtid="{D5CDD505-2E9C-101B-9397-08002B2CF9AE}" pid="7" name="_dlc_DocIdItemGuid">
    <vt:lpwstr>1b7cb28d-1eec-4758-bf5d-cb5c4d20f911</vt:lpwstr>
  </property>
  <property fmtid="{D5CDD505-2E9C-101B-9397-08002B2CF9AE}" pid="8" name="TaxKeyword">
    <vt:lpwstr/>
  </property>
</Properties>
</file>