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2FC5E" w14:textId="1DDDF640" w:rsidR="00700808" w:rsidRPr="00700808" w:rsidRDefault="00700808" w:rsidP="00700808">
      <w:pPr>
        <w:spacing w:line="240" w:lineRule="auto"/>
        <w:textAlignment w:val="baseline"/>
        <w:rPr>
          <w:rFonts w:asciiTheme="majorHAnsi" w:hAnsiTheme="majorHAnsi" w:cstheme="majorHAnsi"/>
        </w:rPr>
      </w:pPr>
      <w:r w:rsidRPr="00700808">
        <w:rPr>
          <w:rFonts w:asciiTheme="majorHAnsi" w:hAnsiTheme="majorHAnsi" w:cstheme="majorHAnsi"/>
        </w:rPr>
        <w:t>Leadership can come in many forms and shapes. One way of looking at leadership styles is to place them with three styles:  directive, participative and delegative. We all have a natural leadership style, but effective nutrition</w:t>
      </w:r>
      <w:bookmarkStart w:id="0" w:name="_GoBack"/>
      <w:bookmarkEnd w:id="0"/>
      <w:r w:rsidRPr="00700808">
        <w:rPr>
          <w:rFonts w:asciiTheme="majorHAnsi" w:hAnsiTheme="majorHAnsi" w:cstheme="majorHAnsi"/>
        </w:rPr>
        <w:t xml:space="preserve"> cluster coordination requires an adaptive leadership style, meaning we can adapt our natural leadership style to the situation.</w:t>
      </w:r>
    </w:p>
    <w:p w14:paraId="673CAECB" w14:textId="1E0A8EC5" w:rsidR="00700808" w:rsidRPr="00700808" w:rsidRDefault="00700808" w:rsidP="00700808">
      <w:pPr>
        <w:spacing w:line="240" w:lineRule="auto"/>
        <w:textAlignment w:val="baseline"/>
        <w:rPr>
          <w:rFonts w:asciiTheme="majorHAnsi" w:hAnsiTheme="majorHAnsi" w:cstheme="majorHAnsi"/>
        </w:rPr>
      </w:pPr>
    </w:p>
    <w:p w14:paraId="1613DA0F" w14:textId="2A42D999" w:rsidR="00700808" w:rsidRDefault="00700808" w:rsidP="00700808">
      <w:pPr>
        <w:spacing w:line="240" w:lineRule="auto"/>
        <w:textAlignment w:val="baseline"/>
        <w:rPr>
          <w:rFonts w:asciiTheme="majorHAnsi" w:hAnsiTheme="majorHAnsi" w:cstheme="majorHAnsi"/>
        </w:rPr>
      </w:pPr>
      <w:r w:rsidRPr="00700808">
        <w:rPr>
          <w:rFonts w:asciiTheme="majorHAnsi" w:hAnsiTheme="majorHAnsi" w:cstheme="majorHAnsi"/>
        </w:rPr>
        <w:t>The table below provides a description of Leadership Styles and the types of situations where they are best suited. What is your leadership style and how could you adapt to different situations you come across in your work in the cluster?</w:t>
      </w:r>
    </w:p>
    <w:p w14:paraId="61A282CB" w14:textId="32809923" w:rsidR="00700808" w:rsidRDefault="00700808" w:rsidP="00700808">
      <w:pPr>
        <w:spacing w:line="240" w:lineRule="auto"/>
        <w:textAlignment w:val="baseline"/>
        <w:rPr>
          <w:rFonts w:asciiTheme="majorHAnsi" w:hAnsiTheme="majorHAnsi" w:cstheme="majorHAnsi"/>
        </w:rPr>
      </w:pPr>
    </w:p>
    <w:p w14:paraId="0A7FA311" w14:textId="17BD4BAD" w:rsidR="00700808" w:rsidRPr="00700808" w:rsidRDefault="00700808" w:rsidP="00700808">
      <w:pPr>
        <w:spacing w:line="240" w:lineRule="auto"/>
        <w:textAlignment w:val="baseline"/>
        <w:rPr>
          <w:rFonts w:asciiTheme="majorHAnsi" w:hAnsiTheme="majorHAnsi" w:cstheme="majorHAnsi"/>
          <w:b/>
          <w:sz w:val="24"/>
        </w:rPr>
      </w:pPr>
      <w:r w:rsidRPr="00700808">
        <w:rPr>
          <w:rFonts w:asciiTheme="majorHAnsi" w:hAnsiTheme="majorHAnsi" w:cstheme="majorHAnsi"/>
          <w:b/>
          <w:sz w:val="24"/>
        </w:rPr>
        <w:t>Leadership Styles and When to Use Them</w:t>
      </w:r>
    </w:p>
    <w:p w14:paraId="6999CB42" w14:textId="4C179C96" w:rsidR="00700808" w:rsidRPr="00700808" w:rsidRDefault="00700808" w:rsidP="00700808">
      <w:pPr>
        <w:spacing w:line="240" w:lineRule="auto"/>
        <w:ind w:left="360" w:hanging="360"/>
        <w:textAlignment w:val="baseline"/>
        <w:rPr>
          <w:rFonts w:asciiTheme="majorHAnsi" w:hAnsiTheme="majorHAnsi" w:cstheme="majorHAnsi"/>
        </w:rPr>
      </w:pPr>
    </w:p>
    <w:p w14:paraId="40DEF8C4" w14:textId="16486839" w:rsidR="00700808" w:rsidRDefault="00700808" w:rsidP="00700808">
      <w:pPr>
        <w:spacing w:line="240" w:lineRule="auto"/>
        <w:ind w:left="360" w:hanging="360"/>
        <w:jc w:val="center"/>
        <w:textAlignment w:val="baseline"/>
      </w:pPr>
      <w:r w:rsidRPr="00700808">
        <w:rPr>
          <w:noProof/>
        </w:rPr>
        <w:drawing>
          <wp:inline distT="0" distB="0" distL="0" distR="0" wp14:anchorId="72D31C5C" wp14:editId="634D417E">
            <wp:extent cx="4731489" cy="28970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41503" cy="2903170"/>
                    </a:xfrm>
                    <a:prstGeom prst="rect">
                      <a:avLst/>
                    </a:prstGeom>
                  </pic:spPr>
                </pic:pic>
              </a:graphicData>
            </a:graphic>
          </wp:inline>
        </w:drawing>
      </w:r>
    </w:p>
    <w:p w14:paraId="4ECDC9A8" w14:textId="25D65E9C" w:rsidR="00700808" w:rsidRDefault="00700808" w:rsidP="00700808">
      <w:pPr>
        <w:spacing w:line="240" w:lineRule="auto"/>
        <w:ind w:left="360" w:hanging="360"/>
        <w:textAlignment w:val="baseline"/>
      </w:pPr>
    </w:p>
    <w:p w14:paraId="2BF8465D" w14:textId="39B15C4D" w:rsidR="00700808" w:rsidRPr="00700808" w:rsidRDefault="00700808" w:rsidP="00700808">
      <w:pPr>
        <w:spacing w:line="240" w:lineRule="auto"/>
        <w:ind w:left="360" w:hanging="360"/>
        <w:textAlignment w:val="baseline"/>
        <w:rPr>
          <w:rFonts w:asciiTheme="majorHAnsi" w:hAnsiTheme="majorHAnsi" w:cstheme="majorHAnsi"/>
          <w:b/>
          <w:sz w:val="24"/>
        </w:rPr>
      </w:pPr>
      <w:r w:rsidRPr="00700808">
        <w:rPr>
          <w:rFonts w:asciiTheme="majorHAnsi" w:hAnsiTheme="majorHAnsi" w:cstheme="majorHAnsi"/>
          <w:b/>
          <w:sz w:val="24"/>
        </w:rPr>
        <w:t>Leadership in the SNCC</w:t>
      </w:r>
    </w:p>
    <w:p w14:paraId="12A02A97" w14:textId="77777777" w:rsidR="00700808" w:rsidRPr="00700808" w:rsidRDefault="00700808" w:rsidP="00700808">
      <w:pPr>
        <w:pStyle w:val="ListParagraph"/>
        <w:keepLines w:val="0"/>
        <w:numPr>
          <w:ilvl w:val="0"/>
          <w:numId w:val="5"/>
        </w:numPr>
        <w:spacing w:after="0" w:line="240" w:lineRule="auto"/>
        <w:jc w:val="left"/>
        <w:textAlignment w:val="baseline"/>
        <w:rPr>
          <w:rFonts w:asciiTheme="majorHAnsi" w:hAnsiTheme="majorHAnsi" w:cstheme="majorHAnsi"/>
          <w:sz w:val="22"/>
          <w:lang w:val="en-CA"/>
        </w:rPr>
      </w:pPr>
      <w:r w:rsidRPr="00700808">
        <w:rPr>
          <w:rFonts w:asciiTheme="majorHAnsi" w:hAnsiTheme="majorHAnsi" w:cstheme="majorHAnsi"/>
          <w:sz w:val="22"/>
        </w:rPr>
        <w:t xml:space="preserve">Having NGO work collaboratively across projects through the cluster system is better for beneficiaries than having them in competition with each other. </w:t>
      </w:r>
    </w:p>
    <w:p w14:paraId="258E92E3" w14:textId="77777777" w:rsidR="00700808" w:rsidRPr="00700808" w:rsidRDefault="00700808" w:rsidP="00700808">
      <w:pPr>
        <w:pStyle w:val="ListParagraph"/>
        <w:keepLines w:val="0"/>
        <w:numPr>
          <w:ilvl w:val="0"/>
          <w:numId w:val="5"/>
        </w:numPr>
        <w:spacing w:after="0" w:line="240" w:lineRule="auto"/>
        <w:jc w:val="left"/>
        <w:textAlignment w:val="baseline"/>
        <w:rPr>
          <w:rFonts w:asciiTheme="majorHAnsi" w:hAnsiTheme="majorHAnsi" w:cstheme="majorHAnsi"/>
          <w:sz w:val="22"/>
          <w:lang w:val="en-CA"/>
        </w:rPr>
      </w:pPr>
      <w:r w:rsidRPr="00700808">
        <w:rPr>
          <w:rFonts w:asciiTheme="majorHAnsi" w:hAnsiTheme="majorHAnsi" w:cstheme="majorHAnsi"/>
          <w:sz w:val="22"/>
        </w:rPr>
        <w:t xml:space="preserve">It can be difficult for NGOs and UN agencies to work together for a number of reasons including competition for funds, clash of </w:t>
      </w:r>
      <w:proofErr w:type="spellStart"/>
      <w:r w:rsidRPr="00700808">
        <w:rPr>
          <w:rFonts w:asciiTheme="majorHAnsi" w:hAnsiTheme="majorHAnsi" w:cstheme="majorHAnsi"/>
          <w:sz w:val="22"/>
        </w:rPr>
        <w:t>organisational</w:t>
      </w:r>
      <w:proofErr w:type="spellEnd"/>
      <w:r w:rsidRPr="00700808">
        <w:rPr>
          <w:rFonts w:asciiTheme="majorHAnsi" w:hAnsiTheme="majorHAnsi" w:cstheme="majorHAnsi"/>
          <w:sz w:val="22"/>
        </w:rPr>
        <w:t xml:space="preserve"> cultures and mandates as well as because of personal egos. </w:t>
      </w:r>
      <w:r w:rsidRPr="00700808">
        <w:rPr>
          <w:rFonts w:asciiTheme="majorHAnsi" w:hAnsiTheme="majorHAnsi" w:cstheme="majorHAnsi"/>
          <w:sz w:val="22"/>
          <w:lang w:val="en-CA"/>
        </w:rPr>
        <w:t> </w:t>
      </w:r>
    </w:p>
    <w:p w14:paraId="69A5D27F" w14:textId="77777777" w:rsidR="00700808" w:rsidRPr="00700808" w:rsidRDefault="00700808" w:rsidP="00700808">
      <w:pPr>
        <w:pStyle w:val="ListParagraph"/>
        <w:keepLines w:val="0"/>
        <w:numPr>
          <w:ilvl w:val="0"/>
          <w:numId w:val="5"/>
        </w:numPr>
        <w:spacing w:after="0" w:line="240" w:lineRule="auto"/>
        <w:jc w:val="left"/>
        <w:textAlignment w:val="baseline"/>
        <w:rPr>
          <w:rFonts w:asciiTheme="majorHAnsi" w:hAnsiTheme="majorHAnsi" w:cstheme="majorHAnsi"/>
          <w:sz w:val="22"/>
          <w:lang w:val="en-CA"/>
        </w:rPr>
      </w:pPr>
      <w:r w:rsidRPr="00700808">
        <w:rPr>
          <w:rFonts w:asciiTheme="majorHAnsi" w:hAnsiTheme="majorHAnsi" w:cstheme="majorHAnsi"/>
          <w:sz w:val="22"/>
          <w:lang w:val="en-CA"/>
        </w:rPr>
        <w:t xml:space="preserve">Effective leadership requires effective "follow-ship" - in other words, when agreeing to be part of a cluster, partners also have a responsibility to accept and support cluster leadership (coordinators, HCT, etc.) and collectively agreed ways of working, etc. </w:t>
      </w:r>
    </w:p>
    <w:p w14:paraId="19894FA5" w14:textId="77777777" w:rsidR="00700808" w:rsidRPr="00700808" w:rsidRDefault="00700808" w:rsidP="00700808">
      <w:pPr>
        <w:pStyle w:val="ListParagraph"/>
        <w:keepLines w:val="0"/>
        <w:numPr>
          <w:ilvl w:val="0"/>
          <w:numId w:val="5"/>
        </w:numPr>
        <w:spacing w:after="0" w:line="240" w:lineRule="auto"/>
        <w:jc w:val="left"/>
        <w:textAlignment w:val="baseline"/>
        <w:rPr>
          <w:rFonts w:asciiTheme="majorHAnsi" w:hAnsiTheme="majorHAnsi" w:cstheme="majorHAnsi"/>
          <w:sz w:val="22"/>
          <w:lang w:val="en-CA"/>
        </w:rPr>
      </w:pPr>
      <w:r w:rsidRPr="00700808">
        <w:rPr>
          <w:rFonts w:asciiTheme="majorHAnsi" w:hAnsiTheme="majorHAnsi" w:cstheme="majorHAnsi"/>
          <w:sz w:val="22"/>
          <w:lang w:val="en-CA"/>
        </w:rPr>
        <w:t>Partners also have a leadership role within their own organisations, advocating for and promoting the positions and decisions of the cluster</w:t>
      </w:r>
    </w:p>
    <w:p w14:paraId="43C129EF" w14:textId="77777777" w:rsidR="00700808" w:rsidRPr="00700808" w:rsidRDefault="00700808" w:rsidP="00700808">
      <w:pPr>
        <w:pStyle w:val="ListParagraph"/>
        <w:keepLines w:val="0"/>
        <w:numPr>
          <w:ilvl w:val="0"/>
          <w:numId w:val="5"/>
        </w:numPr>
        <w:spacing w:after="0" w:line="240" w:lineRule="auto"/>
        <w:jc w:val="left"/>
        <w:textAlignment w:val="baseline"/>
        <w:rPr>
          <w:rFonts w:asciiTheme="majorHAnsi" w:hAnsiTheme="majorHAnsi" w:cstheme="majorHAnsi"/>
          <w:sz w:val="22"/>
          <w:lang w:val="en-CA"/>
        </w:rPr>
      </w:pPr>
      <w:r w:rsidRPr="00700808">
        <w:rPr>
          <w:rFonts w:asciiTheme="majorHAnsi" w:hAnsiTheme="majorHAnsi" w:cstheme="majorHAnsi"/>
          <w:sz w:val="22"/>
          <w:lang w:val="en-CA"/>
        </w:rPr>
        <w:t>Regardless of the leadership style used in a cluster, ALL leaders require good information and evidence in order to guide decision-making - including evidence of what affected people want and need, and how they view the quality of assistance and the relationship with aid providers.</w:t>
      </w:r>
    </w:p>
    <w:p w14:paraId="64728A1E" w14:textId="77777777" w:rsidR="00700808" w:rsidRPr="00700808" w:rsidRDefault="00700808" w:rsidP="00700808">
      <w:pPr>
        <w:pStyle w:val="ListParagraph"/>
        <w:keepLines w:val="0"/>
        <w:numPr>
          <w:ilvl w:val="0"/>
          <w:numId w:val="5"/>
        </w:numPr>
        <w:spacing w:after="0" w:line="240" w:lineRule="auto"/>
        <w:jc w:val="left"/>
        <w:textAlignment w:val="baseline"/>
        <w:rPr>
          <w:rFonts w:asciiTheme="majorHAnsi" w:hAnsiTheme="majorHAnsi" w:cstheme="majorHAnsi"/>
          <w:sz w:val="22"/>
          <w:lang w:val="en-CA"/>
        </w:rPr>
      </w:pPr>
      <w:r w:rsidRPr="00700808">
        <w:rPr>
          <w:rFonts w:asciiTheme="majorHAnsi" w:hAnsiTheme="majorHAnsi" w:cstheme="majorHAnsi"/>
          <w:sz w:val="22"/>
          <w:lang w:val="en-CA"/>
        </w:rPr>
        <w:t>No single person has all the right knowledge or understanding of the situation to make unilateral decisions - information sharing and joint analysis is critical for an effective response.</w:t>
      </w:r>
    </w:p>
    <w:p w14:paraId="7A332C96" w14:textId="4A281D7E" w:rsidR="00EC051B" w:rsidRPr="00700808" w:rsidRDefault="00700808" w:rsidP="00CA70AA">
      <w:pPr>
        <w:pStyle w:val="ListParagraph"/>
        <w:keepLines w:val="0"/>
        <w:numPr>
          <w:ilvl w:val="0"/>
          <w:numId w:val="5"/>
        </w:numPr>
        <w:spacing w:after="0" w:line="240" w:lineRule="auto"/>
        <w:jc w:val="left"/>
        <w:textAlignment w:val="baseline"/>
        <w:rPr>
          <w:rFonts w:asciiTheme="majorHAnsi" w:hAnsiTheme="majorHAnsi" w:cstheme="majorHAnsi"/>
          <w:sz w:val="22"/>
          <w:lang w:val="en-CA"/>
        </w:rPr>
      </w:pPr>
      <w:r w:rsidRPr="00700808">
        <w:rPr>
          <w:rFonts w:asciiTheme="majorHAnsi" w:hAnsiTheme="majorHAnsi" w:cstheme="majorHAnsi"/>
          <w:sz w:val="22"/>
          <w:lang w:val="en-CA"/>
        </w:rPr>
        <w:t xml:space="preserve">Keeping the focus on affected people at all times can help leaders in whatever role or capacity to achieve the best results for them </w:t>
      </w:r>
    </w:p>
    <w:sectPr w:rsidR="00EC051B" w:rsidRPr="00700808" w:rsidSect="00CA70AA">
      <w:headerReference w:type="default" r:id="rId14"/>
      <w:footerReference w:type="default" r:id="rId15"/>
      <w:pgSz w:w="11900" w:h="16840"/>
      <w:pgMar w:top="1560" w:right="1800" w:bottom="1440" w:left="1800"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2B309" w14:textId="77777777" w:rsidR="002D1FE8" w:rsidRDefault="002D1FE8" w:rsidP="003D00A0">
      <w:pPr>
        <w:spacing w:line="240" w:lineRule="auto"/>
      </w:pPr>
      <w:r>
        <w:separator/>
      </w:r>
    </w:p>
  </w:endnote>
  <w:endnote w:type="continuationSeparator" w:id="0">
    <w:p w14:paraId="6BE3075B" w14:textId="77777777" w:rsidR="002D1FE8" w:rsidRDefault="002D1FE8" w:rsidP="003D00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AFABA" w14:textId="75E57F6A" w:rsidR="003D00A0" w:rsidRPr="009C696D" w:rsidRDefault="0085680F" w:rsidP="003D00A0">
    <w:pPr>
      <w:pStyle w:val="Footer"/>
      <w:ind w:left="-993"/>
      <w:rPr>
        <w:rFonts w:asciiTheme="majorHAnsi" w:hAnsiTheme="majorHAnsi" w:cstheme="majorHAnsi"/>
      </w:rPr>
    </w:pPr>
    <w:r w:rsidRPr="009C696D">
      <w:rPr>
        <w:rFonts w:asciiTheme="majorHAnsi" w:hAnsiTheme="majorHAnsi" w:cstheme="majorHAnsi"/>
        <w:noProof/>
      </w:rPr>
      <w:fldChar w:fldCharType="begin"/>
    </w:r>
    <w:r w:rsidRPr="009C696D">
      <w:rPr>
        <w:rFonts w:asciiTheme="majorHAnsi" w:hAnsiTheme="majorHAnsi" w:cstheme="majorHAnsi"/>
        <w:noProof/>
      </w:rPr>
      <w:instrText xml:space="preserve"> FILENAME   \* MERGEFORMAT </w:instrText>
    </w:r>
    <w:r w:rsidRPr="009C696D">
      <w:rPr>
        <w:rFonts w:asciiTheme="majorHAnsi" w:hAnsiTheme="majorHAnsi" w:cstheme="majorHAnsi"/>
        <w:noProof/>
      </w:rPr>
      <w:fldChar w:fldCharType="separate"/>
    </w:r>
    <w:r w:rsidR="00700808">
      <w:rPr>
        <w:rFonts w:asciiTheme="majorHAnsi" w:hAnsiTheme="majorHAnsi" w:cstheme="majorHAnsi"/>
        <w:noProof/>
      </w:rPr>
      <w:t>1.6 HO Leadership Styles</w:t>
    </w:r>
    <w:r w:rsidRPr="009C696D">
      <w:rPr>
        <w:rFonts w:asciiTheme="majorHAnsi" w:hAnsiTheme="majorHAnsi" w:cstheme="majorHAnsi"/>
        <w:noProof/>
      </w:rPr>
      <w:fldChar w:fldCharType="end"/>
    </w:r>
    <w:r w:rsidR="003D00A0" w:rsidRPr="009C696D">
      <w:rPr>
        <w:rFonts w:asciiTheme="majorHAnsi" w:hAnsiTheme="majorHAnsi" w:cstheme="majorHAnsi"/>
      </w:rPr>
      <w:tab/>
    </w:r>
    <w:r w:rsidR="003D00A0" w:rsidRPr="009C696D">
      <w:rPr>
        <w:rFonts w:asciiTheme="majorHAnsi" w:hAnsiTheme="majorHAnsi" w:cstheme="majorHAnsi"/>
      </w:rPr>
      <w:tab/>
      <w:t xml:space="preserve"> </w:t>
    </w:r>
  </w:p>
  <w:p w14:paraId="2071A124" w14:textId="77777777" w:rsidR="003D00A0" w:rsidRDefault="003D00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E54999" w14:textId="77777777" w:rsidR="002D1FE8" w:rsidRDefault="002D1FE8" w:rsidP="003D00A0">
      <w:pPr>
        <w:spacing w:line="240" w:lineRule="auto"/>
      </w:pPr>
      <w:r>
        <w:separator/>
      </w:r>
    </w:p>
  </w:footnote>
  <w:footnote w:type="continuationSeparator" w:id="0">
    <w:p w14:paraId="078C5FB3" w14:textId="77777777" w:rsidR="002D1FE8" w:rsidRDefault="002D1FE8" w:rsidP="003D00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7F42E" w14:textId="19782CA3" w:rsidR="00CA70AA" w:rsidRPr="00CA70AA" w:rsidRDefault="00B36933" w:rsidP="00CA70AA">
    <w:pPr>
      <w:tabs>
        <w:tab w:val="center" w:pos="4513"/>
        <w:tab w:val="right" w:pos="9026"/>
      </w:tabs>
      <w:spacing w:line="240" w:lineRule="auto"/>
      <w:ind w:left="993"/>
      <w:rPr>
        <w:rFonts w:ascii="Calibri" w:hAnsi="Calibri" w:cs="Calibri"/>
        <w:b/>
        <w:color w:val="auto"/>
        <w:sz w:val="28"/>
        <w:szCs w:val="28"/>
        <w:lang w:val="en-US"/>
      </w:rPr>
    </w:pPr>
    <w:r w:rsidRPr="00B36933">
      <w:rPr>
        <w:rFonts w:ascii="Calibri" w:hAnsi="Calibri" w:cs="Calibri"/>
        <w:b/>
        <w:color w:val="auto"/>
        <w:sz w:val="28"/>
        <w:szCs w:val="28"/>
      </w:rPr>
      <w:drawing>
        <wp:anchor distT="0" distB="0" distL="114300" distR="114300" simplePos="0" relativeHeight="251658240" behindDoc="0" locked="0" layoutInCell="1" allowOverlap="1" wp14:anchorId="291F8753" wp14:editId="497C8AB8">
          <wp:simplePos x="0" y="0"/>
          <wp:positionH relativeFrom="margin">
            <wp:align>left</wp:align>
          </wp:positionH>
          <wp:positionV relativeFrom="paragraph">
            <wp:posOffset>10795</wp:posOffset>
          </wp:positionV>
          <wp:extent cx="1019175" cy="358775"/>
          <wp:effectExtent l="0" t="0" r="9525" b="3175"/>
          <wp:wrapThrough wrapText="bothSides">
            <wp:wrapPolygon edited="0">
              <wp:start x="1211" y="0"/>
              <wp:lineTo x="0" y="11469"/>
              <wp:lineTo x="0" y="20644"/>
              <wp:lineTo x="4037" y="20644"/>
              <wp:lineTo x="19783" y="19497"/>
              <wp:lineTo x="19379" y="18350"/>
              <wp:lineTo x="21398" y="13763"/>
              <wp:lineTo x="21398" y="5735"/>
              <wp:lineTo x="14938" y="0"/>
              <wp:lineTo x="1211" y="0"/>
            </wp:wrapPolygon>
          </wp:wrapThrough>
          <wp:docPr id="6" name="Picture 5">
            <a:extLst xmlns:a="http://schemas.openxmlformats.org/drawingml/2006/main">
              <a:ext uri="{FF2B5EF4-FFF2-40B4-BE49-F238E27FC236}">
                <a16:creationId xmlns:a16="http://schemas.microsoft.com/office/drawing/2014/main" id="{60CA713C-CEBF-4A71-8D09-4C5ED0B4926C}"/>
              </a:ext>
            </a:extLst>
          </wp:docPr>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60CA713C-CEBF-4A71-8D09-4C5ED0B4926C}"/>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1019175" cy="358775"/>
                  </a:xfrm>
                  <a:prstGeom prst="rect">
                    <a:avLst/>
                  </a:prstGeom>
                </pic:spPr>
              </pic:pic>
            </a:graphicData>
          </a:graphic>
          <wp14:sizeRelH relativeFrom="page">
            <wp14:pctWidth>0</wp14:pctWidth>
          </wp14:sizeRelH>
          <wp14:sizeRelV relativeFrom="page">
            <wp14:pctHeight>0</wp14:pctHeight>
          </wp14:sizeRelV>
        </wp:anchor>
      </w:drawing>
    </w:r>
    <w:r w:rsidR="00A0219B">
      <w:rPr>
        <w:rFonts w:ascii="Calibri" w:hAnsi="Calibri" w:cs="Calibri"/>
        <w:b/>
        <w:color w:val="auto"/>
        <w:sz w:val="28"/>
        <w:szCs w:val="28"/>
        <w:lang w:val="en-US"/>
      </w:rPr>
      <w:t xml:space="preserve">Sub-national </w:t>
    </w:r>
    <w:r w:rsidR="00CA70AA" w:rsidRPr="00CA70AA">
      <w:rPr>
        <w:rFonts w:ascii="Calibri" w:hAnsi="Calibri" w:cs="Calibri"/>
        <w:b/>
        <w:color w:val="auto"/>
        <w:sz w:val="28"/>
        <w:szCs w:val="28"/>
        <w:lang w:val="en-US"/>
      </w:rPr>
      <w:t>Nutrition Cluster Coordination Training</w:t>
    </w:r>
  </w:p>
  <w:p w14:paraId="7C3F60AC" w14:textId="496A98E4" w:rsidR="00CA70AA" w:rsidRDefault="00700808" w:rsidP="00CA70AA">
    <w:pPr>
      <w:spacing w:line="240" w:lineRule="auto"/>
      <w:ind w:left="993"/>
      <w:rPr>
        <w:rFonts w:ascii="Calibri" w:hAnsi="Calibri" w:cs="Calibri"/>
        <w:b/>
        <w:color w:val="auto"/>
        <w:sz w:val="28"/>
        <w:szCs w:val="28"/>
        <w:lang w:val="en-US"/>
      </w:rPr>
    </w:pPr>
    <w:r>
      <w:rPr>
        <w:rFonts w:ascii="Calibri" w:hAnsi="Calibri" w:cs="Calibri"/>
        <w:b/>
        <w:color w:val="auto"/>
        <w:sz w:val="28"/>
        <w:szCs w:val="28"/>
        <w:lang w:val="en-US"/>
      </w:rPr>
      <w:t>Leadership Styles</w:t>
    </w:r>
  </w:p>
  <w:p w14:paraId="0E72177A" w14:textId="77777777" w:rsidR="00CA70AA" w:rsidRPr="00CA70AA" w:rsidRDefault="00CA70AA" w:rsidP="00CA70AA">
    <w:pPr>
      <w:spacing w:line="240" w:lineRule="auto"/>
      <w:ind w:left="993"/>
      <w:rPr>
        <w:rFonts w:ascii="Cambria" w:hAnsi="Cambria"/>
        <w:color w:val="auto"/>
        <w:szCs w:val="22"/>
        <w:lang w:val="en-US"/>
      </w:rPr>
    </w:pPr>
  </w:p>
  <w:p w14:paraId="523C3D1B" w14:textId="46D75EAD" w:rsidR="003D00A0" w:rsidRPr="00CA70AA" w:rsidRDefault="003D00A0" w:rsidP="00CA70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D4325"/>
    <w:multiLevelType w:val="hybridMultilevel"/>
    <w:tmpl w:val="509E4032"/>
    <w:lvl w:ilvl="0" w:tplc="33022EAE">
      <w:start w:val="1"/>
      <w:numFmt w:val="decimal"/>
      <w:pStyle w:val="Liste123"/>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 w15:restartNumberingAfterBreak="0">
    <w:nsid w:val="2F9B1A08"/>
    <w:multiLevelType w:val="hybridMultilevel"/>
    <w:tmpl w:val="ABEAB2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E51A9E"/>
    <w:multiLevelType w:val="hybridMultilevel"/>
    <w:tmpl w:val="6EF4F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A7104AE"/>
    <w:multiLevelType w:val="hybridMultilevel"/>
    <w:tmpl w:val="70EC7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A945C34"/>
    <w:multiLevelType w:val="hybridMultilevel"/>
    <w:tmpl w:val="3B20AB22"/>
    <w:lvl w:ilvl="0" w:tplc="E6DAFC84">
      <w:start w:val="1"/>
      <w:numFmt w:val="bullet"/>
      <w:pStyle w:val="ListParagraph"/>
      <w:lvlText w:val=""/>
      <w:lvlJc w:val="left"/>
      <w:pPr>
        <w:ind w:left="0" w:hanging="360"/>
      </w:pPr>
      <w:rPr>
        <w:rFonts w:ascii="Symbol" w:hAnsi="Symbol" w:hint="default"/>
      </w:rPr>
    </w:lvl>
    <w:lvl w:ilvl="1" w:tplc="040C0003">
      <w:start w:val="1"/>
      <w:numFmt w:val="bullet"/>
      <w:lvlText w:val="o"/>
      <w:lvlJc w:val="left"/>
      <w:pPr>
        <w:ind w:left="720" w:hanging="360"/>
      </w:pPr>
      <w:rPr>
        <w:rFonts w:ascii="Courier New" w:hAnsi="Courier New" w:cs="Tahoma"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Tahoma"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Tahoma" w:hint="default"/>
      </w:rPr>
    </w:lvl>
    <w:lvl w:ilvl="8" w:tplc="040C0005" w:tentative="1">
      <w:start w:val="1"/>
      <w:numFmt w:val="bullet"/>
      <w:lvlText w:val=""/>
      <w:lvlJc w:val="left"/>
      <w:pPr>
        <w:ind w:left="576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A2B"/>
    <w:rsid w:val="001646B1"/>
    <w:rsid w:val="002A6C33"/>
    <w:rsid w:val="002D1FE8"/>
    <w:rsid w:val="003D00A0"/>
    <w:rsid w:val="004D5732"/>
    <w:rsid w:val="006F5A2B"/>
    <w:rsid w:val="00700808"/>
    <w:rsid w:val="00745680"/>
    <w:rsid w:val="0085680F"/>
    <w:rsid w:val="009C696D"/>
    <w:rsid w:val="00A0219B"/>
    <w:rsid w:val="00A0264F"/>
    <w:rsid w:val="00A6473D"/>
    <w:rsid w:val="00B36933"/>
    <w:rsid w:val="00BC51D8"/>
    <w:rsid w:val="00CA70AA"/>
    <w:rsid w:val="00EA70B8"/>
    <w:rsid w:val="00EC051B"/>
    <w:rsid w:val="00EE09D3"/>
    <w:rsid w:val="00F35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3EA7A2"/>
  <w14:defaultImageDpi w14:val="300"/>
  <w15:docId w15:val="{D969148E-E45C-474D-B86F-E1E72ECF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5A2B"/>
    <w:pPr>
      <w:spacing w:line="360" w:lineRule="exact"/>
    </w:pPr>
    <w:rPr>
      <w:rFonts w:ascii="Myriad Pro" w:eastAsia="Times New Roman" w:hAnsi="Myriad Pro" w:cs="Times New Roman"/>
      <w:color w:val="231F20"/>
      <w:sz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5A2B"/>
    <w:pPr>
      <w:keepLines/>
      <w:numPr>
        <w:numId w:val="1"/>
      </w:numPr>
      <w:spacing w:after="200" w:line="276" w:lineRule="auto"/>
      <w:ind w:left="360"/>
      <w:contextualSpacing/>
      <w:jc w:val="both"/>
    </w:pPr>
    <w:rPr>
      <w:rFonts w:ascii="Arial" w:eastAsiaTheme="minorHAnsi" w:hAnsi="Arial" w:cstheme="minorHAnsi"/>
      <w:color w:val="auto"/>
      <w:sz w:val="20"/>
      <w:szCs w:val="22"/>
      <w:lang w:val="en-US"/>
    </w:rPr>
  </w:style>
  <w:style w:type="paragraph" w:customStyle="1" w:styleId="Liste123">
    <w:name w:val="Liste 123"/>
    <w:basedOn w:val="ListParagraph"/>
    <w:qFormat/>
    <w:rsid w:val="006F5A2B"/>
    <w:pPr>
      <w:numPr>
        <w:numId w:val="2"/>
      </w:numPr>
    </w:pPr>
    <w:rPr>
      <w:lang w:eastAsia="en-GB"/>
    </w:rPr>
  </w:style>
  <w:style w:type="paragraph" w:styleId="Header">
    <w:name w:val="header"/>
    <w:basedOn w:val="Normal"/>
    <w:link w:val="HeaderChar"/>
    <w:uiPriority w:val="99"/>
    <w:unhideWhenUsed/>
    <w:rsid w:val="003D00A0"/>
    <w:pPr>
      <w:tabs>
        <w:tab w:val="center" w:pos="4513"/>
        <w:tab w:val="right" w:pos="9026"/>
      </w:tabs>
      <w:spacing w:line="240" w:lineRule="auto"/>
    </w:pPr>
  </w:style>
  <w:style w:type="character" w:customStyle="1" w:styleId="HeaderChar">
    <w:name w:val="Header Char"/>
    <w:basedOn w:val="DefaultParagraphFont"/>
    <w:link w:val="Header"/>
    <w:uiPriority w:val="99"/>
    <w:rsid w:val="003D00A0"/>
    <w:rPr>
      <w:rFonts w:ascii="Myriad Pro" w:eastAsia="Times New Roman" w:hAnsi="Myriad Pro" w:cs="Times New Roman"/>
      <w:color w:val="231F20"/>
      <w:sz w:val="22"/>
      <w:lang w:val="en-GB"/>
    </w:rPr>
  </w:style>
  <w:style w:type="paragraph" w:styleId="Footer">
    <w:name w:val="footer"/>
    <w:basedOn w:val="Normal"/>
    <w:link w:val="FooterChar"/>
    <w:uiPriority w:val="99"/>
    <w:unhideWhenUsed/>
    <w:rsid w:val="003D00A0"/>
    <w:pPr>
      <w:tabs>
        <w:tab w:val="center" w:pos="4513"/>
        <w:tab w:val="right" w:pos="9026"/>
      </w:tabs>
      <w:spacing w:line="240" w:lineRule="auto"/>
    </w:pPr>
  </w:style>
  <w:style w:type="character" w:customStyle="1" w:styleId="FooterChar">
    <w:name w:val="Footer Char"/>
    <w:basedOn w:val="DefaultParagraphFont"/>
    <w:link w:val="Footer"/>
    <w:uiPriority w:val="99"/>
    <w:rsid w:val="003D00A0"/>
    <w:rPr>
      <w:rFonts w:ascii="Myriad Pro" w:eastAsia="Times New Roman" w:hAnsi="Myriad Pro" w:cs="Times New Roman"/>
      <w:color w:val="231F20"/>
      <w:sz w:val="22"/>
      <w:lang w:val="en-GB"/>
    </w:rPr>
  </w:style>
  <w:style w:type="paragraph" w:styleId="BalloonText">
    <w:name w:val="Balloon Text"/>
    <w:basedOn w:val="Normal"/>
    <w:link w:val="BalloonTextChar"/>
    <w:uiPriority w:val="99"/>
    <w:semiHidden/>
    <w:unhideWhenUsed/>
    <w:rsid w:val="003D00A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0A0"/>
    <w:rPr>
      <w:rFonts w:ascii="Segoe UI" w:eastAsia="Times New Roman" w:hAnsi="Segoe UI" w:cs="Segoe UI"/>
      <w:color w:val="231F20"/>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3f51738-d318-4883-9d64-4f0bd0ccc55e" ContentTypeId="0x0101009BA85F8052A6DA4FA3E31FF9F74C6970" PreviousValue="false"/>
</file>

<file path=customXml/item4.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
  <cached>True</cached>
  <openByDefault>True</openByDefault>
  <xsnScope/>
</customXsn>
</file>

<file path=customXml/item6.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12</Value>
      <Value>10</Value>
      <Value>196</Value>
      <Value>163</Value>
      <Value>146</Value>
      <Value>3</Value>
      <Value>104</Value>
    </TaxCatchAll>
    <k8c968e8c72a4eda96b7e8fdbe192be2 xmlns="ca283e0b-db31-4043-a2ef-b80661bf084a">
      <Terms xmlns="http://schemas.microsoft.com/office/infopath/2007/PartnerControl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emergency response</TermName>
          <TermId xmlns="http://schemas.microsoft.com/office/infopath/2007/PartnerControls">e7eac636-aa3d-4db8-92d9-399d6677a2bf</TermId>
        </TermInfo>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Info xmlns="http://schemas.microsoft.com/office/infopath/2007/PartnerControls">
          <TermName xmlns="http://schemas.microsoft.com/office/infopath/2007/PartnerControls">Subnational</TermName>
          <TermId xmlns="http://schemas.microsoft.com/office/infopath/2007/PartnerControls">32144de7-b842-4aa8-aa89-dcda5227d104</TermId>
        </TermInfo>
      </Terms>
    </TaxKeywordTaxHTField>
    <CategoryDescription xmlns="http://schemas.microsoft.com/sharepoint.v3">Master GNC packages.
2019 Subnational NCC.
1.6. Soft skills for coordination.</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EMOPSGCCU-1435067120-18754</_dlc_DocId>
    <_dlc_DocIdUrl xmlns="5858627f-d058-4b92-9b52-677b5fd7d454">
      <Url>https://unicef.sharepoint.com/teams/EMOPS-GCCU/_layouts/15/DocIdRedir.aspx?ID=EMOPSGCCU-1435067120-18754</Url>
      <Description>EMOPSGCCU-1435067120-18754</Description>
    </_dlc_DocIdUrl>
  </documentManagement>
</p:properties>
</file>

<file path=customXml/itemProps1.xml><?xml version="1.0" encoding="utf-8"?>
<ds:datastoreItem xmlns:ds="http://schemas.openxmlformats.org/officeDocument/2006/customXml" ds:itemID="{0B1F9538-52AE-411F-B6F2-5BDD111681B7}">
  <ds:schemaRefs>
    <ds:schemaRef ds:uri="http://schemas.microsoft.com/sharepoint/v3/contenttype/forms"/>
  </ds:schemaRefs>
</ds:datastoreItem>
</file>

<file path=customXml/itemProps2.xml><?xml version="1.0" encoding="utf-8"?>
<ds:datastoreItem xmlns:ds="http://schemas.openxmlformats.org/officeDocument/2006/customXml" ds:itemID="{30C4004F-0BA9-4172-B1E1-3C82CE386809}">
  <ds:schemaRefs>
    <ds:schemaRef ds:uri="http://schemas.microsoft.com/sharepoint/events"/>
  </ds:schemaRefs>
</ds:datastoreItem>
</file>

<file path=customXml/itemProps3.xml><?xml version="1.0" encoding="utf-8"?>
<ds:datastoreItem xmlns:ds="http://schemas.openxmlformats.org/officeDocument/2006/customXml" ds:itemID="{743033AD-3DD6-4665-AF41-5744FAD4A8B8}">
  <ds:schemaRefs>
    <ds:schemaRef ds:uri="Microsoft.SharePoint.Taxonomy.ContentTypeSync"/>
  </ds:schemaRefs>
</ds:datastoreItem>
</file>

<file path=customXml/itemProps4.xml><?xml version="1.0" encoding="utf-8"?>
<ds:datastoreItem xmlns:ds="http://schemas.openxmlformats.org/officeDocument/2006/customXml" ds:itemID="{C09CD2A8-B83E-40C8-ADBE-D9D80FD67715}"/>
</file>

<file path=customXml/itemProps5.xml><?xml version="1.0" encoding="utf-8"?>
<ds:datastoreItem xmlns:ds="http://schemas.openxmlformats.org/officeDocument/2006/customXml" ds:itemID="{8DC6E0B8-BAE6-40E1-8854-6483DBFF8964}">
  <ds:schemaRefs>
    <ds:schemaRef ds:uri="http://schemas.microsoft.com/office/2006/metadata/customXsn"/>
  </ds:schemaRefs>
</ds:datastoreItem>
</file>

<file path=customXml/itemProps6.xml><?xml version="1.0" encoding="utf-8"?>
<ds:datastoreItem xmlns:ds="http://schemas.openxmlformats.org/officeDocument/2006/customXml" ds:itemID="{C332A0A3-ABD6-4F92-9367-F72D699882B2}">
  <ds:schemaRefs>
    <ds:schemaRef ds:uri="http://schemas.microsoft.com/office/2006/metadata/properties"/>
    <ds:schemaRef ds:uri="http://schemas.microsoft.com/office/infopath/2007/PartnerControls"/>
    <ds:schemaRef ds:uri="ca283e0b-db31-4043-a2ef-b80661bf084a"/>
    <ds:schemaRef ds:uri="http://schemas.microsoft.com/sharepoint/v4"/>
    <ds:schemaRef ds:uri="5858627f-d058-4b92-9b52-677b5fd7d454"/>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Seymour</dc:creator>
  <cp:keywords>Training; NCC; Subnational</cp:keywords>
  <dc:description/>
  <cp:lastModifiedBy>Diogo Loureiro Jurema</cp:lastModifiedBy>
  <cp:revision>4</cp:revision>
  <cp:lastPrinted>2017-10-19T13:05:00Z</cp:lastPrinted>
  <dcterms:created xsi:type="dcterms:W3CDTF">2019-02-28T09:37:00Z</dcterms:created>
  <dcterms:modified xsi:type="dcterms:W3CDTF">2019-10-15T11:37:00Z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104;#NCC|37acde9b-31c8-46a8-8f12-aa74bad75c11;#163;#Training|e274f566-a9bf-4f70-80f5-de4ef515adf5;#196;#Subnational|32144de7-b842-4aa8-aa89-dcda5227d104</vt:lpwstr>
  </property>
  <property fmtid="{D5CDD505-2E9C-101B-9397-08002B2CF9AE}" pid="5" name="Topic">
    <vt:lpwstr>146;#Nutrition emergency response|e7eac636-aa3d-4db8-92d9-399d6677a2bf;#10;#Nutrition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
  </property>
  <property fmtid="{D5CDD505-2E9C-101B-9397-08002B2CF9AE}" pid="8" name="_dlc_DocIdItemGuid">
    <vt:lpwstr>33bd56fd-8ada-4626-a91c-2e285c40447a</vt:lpwstr>
  </property>
</Properties>
</file>