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19B9C" w14:textId="77777777" w:rsidR="003F5B26" w:rsidRPr="003F5B26" w:rsidRDefault="007A15A5" w:rsidP="003F5B26">
      <w:pPr>
        <w:pStyle w:val="Liste123"/>
        <w:numPr>
          <w:ilvl w:val="0"/>
          <w:numId w:val="0"/>
        </w:numPr>
        <w:jc w:val="center"/>
        <w:rPr>
          <w:rFonts w:asciiTheme="majorHAnsi" w:hAnsiTheme="majorHAnsi"/>
          <w:b/>
          <w:sz w:val="144"/>
          <w:szCs w:val="120"/>
        </w:rPr>
      </w:pPr>
      <w:bookmarkStart w:id="0" w:name="_Hlk320914110"/>
      <w:r>
        <w:rPr>
          <w:rFonts w:asciiTheme="majorHAnsi" w:hAnsiTheme="majorHAnsi"/>
          <w:b/>
          <w:sz w:val="144"/>
          <w:szCs w:val="120"/>
        </w:rPr>
        <w:t xml:space="preserve">1. </w:t>
      </w:r>
      <w:r w:rsidR="003F5B26" w:rsidRPr="003F5B26">
        <w:rPr>
          <w:rFonts w:asciiTheme="majorHAnsi" w:hAnsiTheme="majorHAnsi"/>
          <w:b/>
          <w:sz w:val="144"/>
          <w:szCs w:val="120"/>
        </w:rPr>
        <w:t>Supporting service delivery</w:t>
      </w:r>
    </w:p>
    <w:p w14:paraId="31BFF4BC" w14:textId="32BB5C9F" w:rsidR="003F5B26" w:rsidRPr="003F5B26" w:rsidRDefault="007A15A5" w:rsidP="2A7A1304">
      <w:pPr>
        <w:spacing w:after="0" w:line="240" w:lineRule="auto"/>
        <w:jc w:val="center"/>
        <w:rPr>
          <w:rFonts w:asciiTheme="majorHAnsi" w:hAnsiTheme="majorHAnsi"/>
          <w:b/>
          <w:bCs/>
          <w:sz w:val="144"/>
          <w:szCs w:val="144"/>
        </w:rPr>
      </w:pPr>
      <w:r w:rsidRPr="2A7A1304">
        <w:rPr>
          <w:rFonts w:asciiTheme="majorHAnsi" w:hAnsiTheme="majorHAnsi"/>
          <w:b/>
          <w:bCs/>
          <w:sz w:val="144"/>
          <w:szCs w:val="144"/>
        </w:rPr>
        <w:br w:type="page"/>
      </w:r>
      <w:r w:rsidR="2A7A1304" w:rsidRPr="2A7A1304">
        <w:rPr>
          <w:rFonts w:asciiTheme="majorHAnsi" w:hAnsiTheme="majorHAnsi"/>
          <w:b/>
          <w:bCs/>
          <w:sz w:val="144"/>
          <w:szCs w:val="144"/>
        </w:rPr>
        <w:lastRenderedPageBreak/>
        <w:t>2. Informing strategic decision-making of the HC/HCT for the humanitarian response</w:t>
      </w:r>
    </w:p>
    <w:p w14:paraId="56367D46" w14:textId="255A01B9" w:rsidR="2A7A1304" w:rsidRDefault="2A7A1304">
      <w:r>
        <w:br w:type="page"/>
      </w:r>
    </w:p>
    <w:p w14:paraId="174F2C4E" w14:textId="0B911CDC" w:rsidR="2A7A1304" w:rsidRDefault="2A7A1304" w:rsidP="2A7A1304">
      <w:pPr>
        <w:ind w:left="360"/>
        <w:jc w:val="center"/>
        <w:rPr>
          <w:rFonts w:asciiTheme="majorHAnsi" w:eastAsiaTheme="majorEastAsia" w:hAnsiTheme="majorHAnsi" w:cstheme="majorBidi"/>
          <w:b/>
          <w:bCs/>
          <w:sz w:val="144"/>
          <w:szCs w:val="144"/>
          <w:lang w:val="en-US"/>
        </w:rPr>
      </w:pPr>
      <w:r w:rsidRPr="2A7A1304">
        <w:rPr>
          <w:rFonts w:asciiTheme="majorHAnsi" w:eastAsiaTheme="majorEastAsia" w:hAnsiTheme="majorHAnsi" w:cstheme="majorBidi"/>
          <w:b/>
          <w:bCs/>
          <w:sz w:val="144"/>
          <w:szCs w:val="144"/>
        </w:rPr>
        <w:lastRenderedPageBreak/>
        <w:t>3. P</w:t>
      </w:r>
      <w:proofErr w:type="spellStart"/>
      <w:r w:rsidRPr="2A7A1304">
        <w:rPr>
          <w:rFonts w:asciiTheme="majorHAnsi" w:eastAsiaTheme="majorEastAsia" w:hAnsiTheme="majorHAnsi" w:cstheme="majorBidi"/>
          <w:b/>
          <w:bCs/>
          <w:sz w:val="144"/>
          <w:szCs w:val="144"/>
          <w:lang w:val="en-US"/>
        </w:rPr>
        <w:t>lanning</w:t>
      </w:r>
      <w:proofErr w:type="spellEnd"/>
      <w:r w:rsidRPr="2A7A1304">
        <w:rPr>
          <w:rFonts w:asciiTheme="majorHAnsi" w:eastAsiaTheme="majorEastAsia" w:hAnsiTheme="majorHAnsi" w:cstheme="majorBidi"/>
          <w:b/>
          <w:bCs/>
          <w:sz w:val="144"/>
          <w:szCs w:val="144"/>
          <w:lang w:val="en-US"/>
        </w:rPr>
        <w:t xml:space="preserve"> and implementing cluster strategies</w:t>
      </w:r>
    </w:p>
    <w:p w14:paraId="37CABF40" w14:textId="77777777" w:rsidR="003F5B26" w:rsidRPr="003F5B26" w:rsidRDefault="003F5B26" w:rsidP="003F5B26">
      <w:pPr>
        <w:pStyle w:val="Liste123"/>
        <w:numPr>
          <w:ilvl w:val="0"/>
          <w:numId w:val="0"/>
        </w:numPr>
        <w:jc w:val="center"/>
        <w:rPr>
          <w:rFonts w:asciiTheme="majorHAnsi" w:hAnsiTheme="majorHAnsi"/>
          <w:b/>
          <w:sz w:val="144"/>
          <w:szCs w:val="120"/>
        </w:rPr>
      </w:pPr>
    </w:p>
    <w:p w14:paraId="1CC889CE" w14:textId="04EB7DDF" w:rsidR="2A7A1304" w:rsidRDefault="2A7A1304"/>
    <w:p w14:paraId="31B634F8" w14:textId="3A864F5B" w:rsidR="2A7A1304" w:rsidRDefault="2A7A1304" w:rsidP="2A7A1304">
      <w:pPr>
        <w:pStyle w:val="Liste123"/>
        <w:numPr>
          <w:ilvl w:val="0"/>
          <w:numId w:val="0"/>
        </w:numPr>
        <w:spacing w:after="0"/>
        <w:ind w:left="-360"/>
        <w:jc w:val="center"/>
        <w:rPr>
          <w:rFonts w:asciiTheme="majorHAnsi" w:hAnsiTheme="majorHAnsi"/>
          <w:b/>
          <w:bCs/>
          <w:sz w:val="144"/>
          <w:szCs w:val="144"/>
        </w:rPr>
      </w:pPr>
      <w:r w:rsidRPr="2A7A1304">
        <w:rPr>
          <w:rFonts w:asciiTheme="majorHAnsi" w:hAnsiTheme="majorHAnsi"/>
          <w:b/>
          <w:bCs/>
          <w:sz w:val="144"/>
          <w:szCs w:val="144"/>
        </w:rPr>
        <w:t>4. Monitoring and Evaluating Performance</w:t>
      </w:r>
    </w:p>
    <w:p w14:paraId="1BCC267D" w14:textId="77777777" w:rsidR="003F5B26" w:rsidRPr="003F5B26" w:rsidRDefault="003F5B26" w:rsidP="003F5B26">
      <w:pPr>
        <w:pStyle w:val="Liste123"/>
        <w:numPr>
          <w:ilvl w:val="0"/>
          <w:numId w:val="0"/>
        </w:numPr>
        <w:jc w:val="center"/>
        <w:rPr>
          <w:rFonts w:asciiTheme="majorHAnsi" w:hAnsiTheme="majorHAnsi"/>
          <w:b/>
          <w:sz w:val="144"/>
          <w:szCs w:val="120"/>
        </w:rPr>
      </w:pPr>
    </w:p>
    <w:p w14:paraId="41985751" w14:textId="3DE34D20" w:rsidR="003F5B26" w:rsidRPr="003F5B26" w:rsidRDefault="007A15A5" w:rsidP="2A7A1304">
      <w:pPr>
        <w:spacing w:after="0" w:line="240" w:lineRule="auto"/>
        <w:jc w:val="center"/>
        <w:rPr>
          <w:rFonts w:asciiTheme="majorHAnsi" w:hAnsiTheme="majorHAnsi"/>
          <w:sz w:val="144"/>
          <w:szCs w:val="144"/>
        </w:rPr>
      </w:pPr>
      <w:r w:rsidRPr="2A7A1304">
        <w:rPr>
          <w:rFonts w:asciiTheme="majorHAnsi" w:hAnsiTheme="majorHAnsi"/>
          <w:b/>
          <w:bCs/>
          <w:sz w:val="144"/>
          <w:szCs w:val="144"/>
        </w:rPr>
        <w:br w:type="page"/>
      </w:r>
      <w:r w:rsidR="2A7A1304" w:rsidRPr="2A7A1304">
        <w:rPr>
          <w:rFonts w:asciiTheme="majorHAnsi" w:hAnsiTheme="majorHAnsi"/>
          <w:b/>
          <w:bCs/>
          <w:sz w:val="144"/>
          <w:szCs w:val="144"/>
        </w:rPr>
        <w:lastRenderedPageBreak/>
        <w:t>5. Building National Capacity in Preparedness and Contingency Planning</w:t>
      </w:r>
    </w:p>
    <w:bookmarkEnd w:id="0"/>
    <w:p w14:paraId="36AC6365" w14:textId="5B38D529" w:rsidR="2A7A1304" w:rsidRDefault="2A7A1304" w:rsidP="2A7A1304">
      <w:pPr>
        <w:spacing w:after="0" w:line="240" w:lineRule="auto"/>
        <w:jc w:val="center"/>
        <w:rPr>
          <w:rFonts w:asciiTheme="majorHAnsi" w:hAnsiTheme="majorHAnsi"/>
          <w:b/>
          <w:bCs/>
          <w:sz w:val="144"/>
          <w:szCs w:val="144"/>
        </w:rPr>
      </w:pPr>
      <w:r w:rsidRPr="2A7A1304">
        <w:rPr>
          <w:rFonts w:asciiTheme="majorHAnsi" w:hAnsiTheme="majorHAnsi"/>
          <w:b/>
          <w:bCs/>
          <w:sz w:val="144"/>
          <w:szCs w:val="144"/>
        </w:rPr>
        <w:br w:type="page"/>
      </w:r>
      <w:r w:rsidRPr="2A7A1304">
        <w:rPr>
          <w:rFonts w:asciiTheme="majorHAnsi" w:hAnsiTheme="majorHAnsi"/>
          <w:b/>
          <w:bCs/>
          <w:sz w:val="144"/>
          <w:szCs w:val="144"/>
        </w:rPr>
        <w:lastRenderedPageBreak/>
        <w:t>6. Supporting robust advocacy</w:t>
      </w:r>
    </w:p>
    <w:p w14:paraId="3AC1FC6A" w14:textId="77777777" w:rsidR="003B0912" w:rsidRDefault="003B0912" w:rsidP="2A7A1304">
      <w:pPr>
        <w:spacing w:after="0" w:line="240" w:lineRule="auto"/>
        <w:jc w:val="center"/>
        <w:rPr>
          <w:rFonts w:asciiTheme="majorHAnsi" w:hAnsiTheme="majorHAnsi"/>
          <w:b/>
          <w:bCs/>
          <w:sz w:val="144"/>
          <w:szCs w:val="144"/>
        </w:rPr>
      </w:pPr>
    </w:p>
    <w:p w14:paraId="3EFD5263" w14:textId="77777777" w:rsidR="003B0912" w:rsidRDefault="003B0912" w:rsidP="2A7A1304">
      <w:pPr>
        <w:spacing w:after="0" w:line="240" w:lineRule="auto"/>
        <w:jc w:val="center"/>
        <w:rPr>
          <w:rFonts w:asciiTheme="majorHAnsi" w:hAnsiTheme="majorHAnsi"/>
          <w:b/>
          <w:bCs/>
          <w:sz w:val="144"/>
          <w:szCs w:val="144"/>
        </w:rPr>
      </w:pPr>
    </w:p>
    <w:p w14:paraId="174E7EAD" w14:textId="395E7D1A" w:rsidR="003B0912" w:rsidRDefault="003B0912" w:rsidP="2A7A1304">
      <w:pPr>
        <w:spacing w:after="0" w:line="240" w:lineRule="auto"/>
        <w:jc w:val="center"/>
        <w:rPr>
          <w:rFonts w:asciiTheme="majorHAnsi" w:hAnsiTheme="majorHAnsi"/>
          <w:b/>
          <w:bCs/>
          <w:sz w:val="144"/>
          <w:szCs w:val="144"/>
          <w:lang w:val="en-US" w:eastAsia="en-GB"/>
        </w:rPr>
      </w:pPr>
      <w:r>
        <w:rPr>
          <w:rFonts w:asciiTheme="majorHAnsi" w:hAnsiTheme="majorHAnsi"/>
          <w:b/>
          <w:bCs/>
          <w:sz w:val="144"/>
          <w:szCs w:val="144"/>
        </w:rPr>
        <w:lastRenderedPageBreak/>
        <w:t>Accountability to the Affected People</w:t>
      </w:r>
      <w:bookmarkStart w:id="1" w:name="_GoBack"/>
      <w:bookmarkEnd w:id="1"/>
    </w:p>
    <w:sectPr w:rsidR="003B0912" w:rsidSect="003F5B26">
      <w:foot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1B984" w14:textId="77777777" w:rsidR="00076083" w:rsidRDefault="00076083" w:rsidP="00145BF6">
      <w:pPr>
        <w:spacing w:after="0" w:line="240" w:lineRule="auto"/>
      </w:pPr>
      <w:r>
        <w:separator/>
      </w:r>
    </w:p>
  </w:endnote>
  <w:endnote w:type="continuationSeparator" w:id="0">
    <w:p w14:paraId="1E5D9F3A" w14:textId="77777777" w:rsidR="00076083" w:rsidRDefault="00076083" w:rsidP="0014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D52A6" w14:textId="6B677303" w:rsidR="00145BF6" w:rsidRPr="00145BF6" w:rsidRDefault="00145BF6">
    <w:pPr>
      <w:pStyle w:val="Footer"/>
      <w:rPr>
        <w:color w:val="A6A6A6" w:themeColor="background1" w:themeShade="A6"/>
      </w:rPr>
    </w:pPr>
    <w:r w:rsidRPr="00145BF6">
      <w:rPr>
        <w:color w:val="A6A6A6" w:themeColor="background1" w:themeShade="A6"/>
      </w:rPr>
      <w:fldChar w:fldCharType="begin"/>
    </w:r>
    <w:r w:rsidRPr="00145BF6">
      <w:rPr>
        <w:color w:val="A6A6A6" w:themeColor="background1" w:themeShade="A6"/>
      </w:rPr>
      <w:instrText xml:space="preserve"> FILENAME   \* MERGEFORMAT </w:instrText>
    </w:r>
    <w:r w:rsidRPr="00145BF6">
      <w:rPr>
        <w:color w:val="A6A6A6" w:themeColor="background1" w:themeShade="A6"/>
      </w:rPr>
      <w:fldChar w:fldCharType="separate"/>
    </w:r>
    <w:r>
      <w:rPr>
        <w:noProof/>
        <w:color w:val="A6A6A6" w:themeColor="background1" w:themeShade="A6"/>
      </w:rPr>
      <w:t>1.3 R Core Cluster Functions (for hanging on walls)</w:t>
    </w:r>
    <w:r w:rsidRPr="00145BF6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CAF69" w14:textId="77777777" w:rsidR="00076083" w:rsidRDefault="00076083" w:rsidP="00145BF6">
      <w:pPr>
        <w:spacing w:after="0" w:line="240" w:lineRule="auto"/>
      </w:pPr>
      <w:r>
        <w:separator/>
      </w:r>
    </w:p>
  </w:footnote>
  <w:footnote w:type="continuationSeparator" w:id="0">
    <w:p w14:paraId="354666CA" w14:textId="77777777" w:rsidR="00076083" w:rsidRDefault="00076083" w:rsidP="00145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D4325"/>
    <w:multiLevelType w:val="hybridMultilevel"/>
    <w:tmpl w:val="509E4032"/>
    <w:lvl w:ilvl="0" w:tplc="FFFFFFFF">
      <w:start w:val="1"/>
      <w:numFmt w:val="decimal"/>
      <w:pStyle w:val="Liste123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555470"/>
    <w:multiLevelType w:val="hybridMultilevel"/>
    <w:tmpl w:val="3238049E"/>
    <w:lvl w:ilvl="0" w:tplc="9F90FA0C">
      <w:start w:val="1"/>
      <w:numFmt w:val="decimal"/>
      <w:lvlText w:val="%1."/>
      <w:lvlJc w:val="left"/>
      <w:pPr>
        <w:ind w:left="720" w:hanging="360"/>
      </w:pPr>
    </w:lvl>
    <w:lvl w:ilvl="1" w:tplc="6B1208D6">
      <w:start w:val="1"/>
      <w:numFmt w:val="lowerLetter"/>
      <w:lvlText w:val="%2."/>
      <w:lvlJc w:val="left"/>
      <w:pPr>
        <w:ind w:left="1440" w:hanging="360"/>
      </w:pPr>
    </w:lvl>
    <w:lvl w:ilvl="2" w:tplc="3C06411C">
      <w:start w:val="1"/>
      <w:numFmt w:val="lowerRoman"/>
      <w:lvlText w:val="%3."/>
      <w:lvlJc w:val="right"/>
      <w:pPr>
        <w:ind w:left="2160" w:hanging="180"/>
      </w:pPr>
    </w:lvl>
    <w:lvl w:ilvl="3" w:tplc="38209EEE">
      <w:start w:val="1"/>
      <w:numFmt w:val="decimal"/>
      <w:lvlText w:val="%4."/>
      <w:lvlJc w:val="left"/>
      <w:pPr>
        <w:ind w:left="2880" w:hanging="360"/>
      </w:pPr>
    </w:lvl>
    <w:lvl w:ilvl="4" w:tplc="A0E4F142">
      <w:start w:val="1"/>
      <w:numFmt w:val="lowerLetter"/>
      <w:lvlText w:val="%5."/>
      <w:lvlJc w:val="left"/>
      <w:pPr>
        <w:ind w:left="3600" w:hanging="360"/>
      </w:pPr>
    </w:lvl>
    <w:lvl w:ilvl="5" w:tplc="1A64B090">
      <w:start w:val="1"/>
      <w:numFmt w:val="lowerRoman"/>
      <w:lvlText w:val="%6."/>
      <w:lvlJc w:val="right"/>
      <w:pPr>
        <w:ind w:left="4320" w:hanging="180"/>
      </w:pPr>
    </w:lvl>
    <w:lvl w:ilvl="6" w:tplc="F5D486A0">
      <w:start w:val="1"/>
      <w:numFmt w:val="decimal"/>
      <w:lvlText w:val="%7."/>
      <w:lvlJc w:val="left"/>
      <w:pPr>
        <w:ind w:left="5040" w:hanging="360"/>
      </w:pPr>
    </w:lvl>
    <w:lvl w:ilvl="7" w:tplc="2564D0C8">
      <w:start w:val="1"/>
      <w:numFmt w:val="lowerLetter"/>
      <w:lvlText w:val="%8."/>
      <w:lvlJc w:val="left"/>
      <w:pPr>
        <w:ind w:left="5760" w:hanging="360"/>
      </w:pPr>
    </w:lvl>
    <w:lvl w:ilvl="8" w:tplc="451A7E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53262"/>
    <w:multiLevelType w:val="hybridMultilevel"/>
    <w:tmpl w:val="1102C714"/>
    <w:lvl w:ilvl="0" w:tplc="D35624CA">
      <w:start w:val="1"/>
      <w:numFmt w:val="decimal"/>
      <w:lvlText w:val="%1."/>
      <w:lvlJc w:val="left"/>
      <w:pPr>
        <w:ind w:left="720" w:hanging="360"/>
      </w:pPr>
    </w:lvl>
    <w:lvl w:ilvl="1" w:tplc="B85E9334">
      <w:start w:val="1"/>
      <w:numFmt w:val="lowerLetter"/>
      <w:lvlText w:val="%2."/>
      <w:lvlJc w:val="left"/>
      <w:pPr>
        <w:ind w:left="1440" w:hanging="360"/>
      </w:pPr>
    </w:lvl>
    <w:lvl w:ilvl="2" w:tplc="B36E025A">
      <w:start w:val="1"/>
      <w:numFmt w:val="lowerRoman"/>
      <w:lvlText w:val="%3."/>
      <w:lvlJc w:val="right"/>
      <w:pPr>
        <w:ind w:left="2160" w:hanging="180"/>
      </w:pPr>
    </w:lvl>
    <w:lvl w:ilvl="3" w:tplc="9368AA56">
      <w:start w:val="1"/>
      <w:numFmt w:val="decimal"/>
      <w:lvlText w:val="%4."/>
      <w:lvlJc w:val="left"/>
      <w:pPr>
        <w:ind w:left="2880" w:hanging="360"/>
      </w:pPr>
    </w:lvl>
    <w:lvl w:ilvl="4" w:tplc="52C6DC2C">
      <w:start w:val="1"/>
      <w:numFmt w:val="lowerLetter"/>
      <w:lvlText w:val="%5."/>
      <w:lvlJc w:val="left"/>
      <w:pPr>
        <w:ind w:left="3600" w:hanging="360"/>
      </w:pPr>
    </w:lvl>
    <w:lvl w:ilvl="5" w:tplc="22C2E98A">
      <w:start w:val="1"/>
      <w:numFmt w:val="lowerRoman"/>
      <w:lvlText w:val="%6."/>
      <w:lvlJc w:val="right"/>
      <w:pPr>
        <w:ind w:left="4320" w:hanging="180"/>
      </w:pPr>
    </w:lvl>
    <w:lvl w:ilvl="6" w:tplc="D66CA2C0">
      <w:start w:val="1"/>
      <w:numFmt w:val="decimal"/>
      <w:lvlText w:val="%7."/>
      <w:lvlJc w:val="left"/>
      <w:pPr>
        <w:ind w:left="5040" w:hanging="360"/>
      </w:pPr>
    </w:lvl>
    <w:lvl w:ilvl="7" w:tplc="4BDE15DC">
      <w:start w:val="1"/>
      <w:numFmt w:val="lowerLetter"/>
      <w:lvlText w:val="%8."/>
      <w:lvlJc w:val="left"/>
      <w:pPr>
        <w:ind w:left="5760" w:hanging="360"/>
      </w:pPr>
    </w:lvl>
    <w:lvl w:ilvl="8" w:tplc="0150BFD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45C34"/>
    <w:multiLevelType w:val="hybridMultilevel"/>
    <w:tmpl w:val="3B20AB22"/>
    <w:lvl w:ilvl="0" w:tplc="E6DAFC84">
      <w:start w:val="1"/>
      <w:numFmt w:val="bullet"/>
      <w:pStyle w:val="ListParagraph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26"/>
    <w:rsid w:val="00076083"/>
    <w:rsid w:val="00145BF6"/>
    <w:rsid w:val="003B0912"/>
    <w:rsid w:val="003F5B26"/>
    <w:rsid w:val="007A15A5"/>
    <w:rsid w:val="00A019DB"/>
    <w:rsid w:val="00E632F5"/>
    <w:rsid w:val="00EA70B8"/>
    <w:rsid w:val="00EC051B"/>
    <w:rsid w:val="00EE5000"/>
    <w:rsid w:val="2A7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17900"/>
  <w14:defaultImageDpi w14:val="300"/>
  <w15:docId w15:val="{58C573B8-3043-427B-94CD-B3D61DD2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B26"/>
    <w:pPr>
      <w:keepLines/>
      <w:spacing w:after="200" w:line="276" w:lineRule="auto"/>
      <w:jc w:val="both"/>
    </w:pPr>
    <w:rPr>
      <w:rFonts w:ascii="Arial" w:eastAsiaTheme="minorHAnsi" w:hAnsi="Arial"/>
      <w:sz w:val="20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B26"/>
    <w:pPr>
      <w:numPr>
        <w:numId w:val="3"/>
      </w:numPr>
      <w:ind w:left="360"/>
      <w:contextualSpacing/>
    </w:pPr>
    <w:rPr>
      <w:rFonts w:cstheme="minorHAnsi"/>
      <w:lang w:val="en-US"/>
    </w:rPr>
  </w:style>
  <w:style w:type="paragraph" w:customStyle="1" w:styleId="Liste123">
    <w:name w:val="Liste 123"/>
    <w:basedOn w:val="ListParagraph"/>
    <w:qFormat/>
    <w:rsid w:val="003F5B26"/>
    <w:pPr>
      <w:numPr>
        <w:numId w:val="4"/>
      </w:numPr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F6"/>
    <w:rPr>
      <w:rFonts w:ascii="Segoe UI" w:eastAsiaTheme="minorHAns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45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BF6"/>
    <w:rPr>
      <w:rFonts w:ascii="Arial" w:eastAsiaTheme="minorHAnsi" w:hAnsi="Arial"/>
      <w:sz w:val="20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5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BF6"/>
    <w:rPr>
      <w:rFonts w:ascii="Arial" w:eastAsiaTheme="minorHAnsi" w:hAnsi="Arial"/>
      <w:sz w:val="20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customXml" Target="../customXml/item6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12</Value>
      <Value>10</Value>
      <Value>196</Value>
      <Value>163</Value>
      <Value>146</Value>
      <Value>3</Value>
      <Value>104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  <TermInfo xmlns="http://schemas.microsoft.com/office/infopath/2007/PartnerControls">
          <TermName xmlns="http://schemas.microsoft.com/office/infopath/2007/PartnerControls">Nutrition emergency response</TermName>
          <TermId xmlns="http://schemas.microsoft.com/office/infopath/2007/PartnerControls">e7eac636-aa3d-4db8-92d9-399d6677a2bf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Subnational</TermName>
          <TermId xmlns="http://schemas.microsoft.com/office/infopath/2007/PartnerControls">32144de7-b842-4aa8-aa89-dcda5227d104</TermId>
        </TermInfo>
        <TermInfo xmlns="http://schemas.microsoft.com/office/infopath/2007/PartnerControls">
          <TermName xmlns="http://schemas.microsoft.com/office/infopath/2007/PartnerControls">NCC</TermName>
          <TermId xmlns="http://schemas.microsoft.com/office/infopath/2007/PartnerControls">37acde9b-31c8-46a8-8f12-aa74bad75c11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</Terms>
    </TaxKeywordTaxHTField>
    <CategoryDescription xmlns="http://schemas.microsoft.com/sharepoint.v3">Master GNC packages.
2019 Subnational NCC.
1.3. The NC Core Functions.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EMOPSGCCU-1435067120-18729</_dlc_DocId>
    <_dlc_DocIdUrl xmlns="5858627f-d058-4b92-9b52-677b5fd7d454">
      <Url>https://unicef.sharepoint.com/teams/EMOPS-GCCU/_layouts/15/DocIdRedir.aspx?ID=EMOPSGCCU-1435067120-18729</Url>
      <Description>EMOPSGCCU-1435067120-18729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9D2AED3-1C68-412B-BE75-CDBC44164187}"/>
</file>

<file path=customXml/itemProps2.xml><?xml version="1.0" encoding="utf-8"?>
<ds:datastoreItem xmlns:ds="http://schemas.openxmlformats.org/officeDocument/2006/customXml" ds:itemID="{CA77F64E-0F4A-4452-A44B-3C025F0258AC}"/>
</file>

<file path=customXml/itemProps3.xml><?xml version="1.0" encoding="utf-8"?>
<ds:datastoreItem xmlns:ds="http://schemas.openxmlformats.org/officeDocument/2006/customXml" ds:itemID="{6D991A5A-9B6C-4328-8393-371F58C946F5}"/>
</file>

<file path=customXml/itemProps4.xml><?xml version="1.0" encoding="utf-8"?>
<ds:datastoreItem xmlns:ds="http://schemas.openxmlformats.org/officeDocument/2006/customXml" ds:itemID="{0ACEAA62-1462-448B-9AB0-C1ACC40F90CC}"/>
</file>

<file path=customXml/itemProps5.xml><?xml version="1.0" encoding="utf-8"?>
<ds:datastoreItem xmlns:ds="http://schemas.openxmlformats.org/officeDocument/2006/customXml" ds:itemID="{BD601519-06C9-47CA-9238-BFA7CA78D661}"/>
</file>

<file path=customXml/itemProps6.xml><?xml version="1.0" encoding="utf-8"?>
<ds:datastoreItem xmlns:ds="http://schemas.openxmlformats.org/officeDocument/2006/customXml" ds:itemID="{4590276F-201F-4985-BA86-6AB90CEB9F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Seymour</dc:creator>
  <cp:keywords>Training; NCC; Subnational</cp:keywords>
  <dc:description/>
  <cp:lastModifiedBy>Ayadil Saparbekov</cp:lastModifiedBy>
  <cp:revision>7</cp:revision>
  <cp:lastPrinted>2017-10-17T11:26:00Z</cp:lastPrinted>
  <dcterms:created xsi:type="dcterms:W3CDTF">2015-07-31T11:02:00Z</dcterms:created>
  <dcterms:modified xsi:type="dcterms:W3CDTF">2017-10-18T11:43:00Z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196;#Subnational|32144de7-b842-4aa8-aa89-dcda5227d104;#104;#NCC|37acde9b-31c8-46a8-8f12-aa74bad75c11;#163;#Training|e274f566-a9bf-4f70-80f5-de4ef515adf5</vt:lpwstr>
  </property>
  <property fmtid="{D5CDD505-2E9C-101B-9397-08002B2CF9AE}" pid="5" name="Topic">
    <vt:lpwstr>10;#Nutrition Humanitarian Cluster, Coordination|414c5639-61e6-4b56-aaa5-511cdacc25c2;#146;#Nutrition emergency response|e7eac636-aa3d-4db8-92d9-399d6677a2bf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a011e56b-218b-4e47-ab3b-45835be5cde0</vt:lpwstr>
  </property>
</Properties>
</file>